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877A" w14:textId="69493F6C" w:rsidR="00741ACD" w:rsidRPr="00467E96" w:rsidRDefault="00741ACD" w:rsidP="00E44753">
      <w:pPr>
        <w:pStyle w:val="Title"/>
        <w:spacing w:line="240" w:lineRule="auto"/>
        <w:jc w:val="both"/>
        <w:rPr>
          <w:color w:val="ED7D31" w:themeColor="accent2"/>
          <w:sz w:val="22"/>
          <w:szCs w:val="20"/>
        </w:rPr>
      </w:pPr>
      <w:r w:rsidRPr="00467E96">
        <w:rPr>
          <w:b w:val="0"/>
          <w:iCs w:val="0"/>
          <w:sz w:val="22"/>
          <w:szCs w:val="20"/>
          <w:u w:val="single"/>
        </w:rPr>
        <w:t>Research / Review/ Original/ Short Communication/ News / Case Study</w:t>
      </w:r>
      <w:r w:rsidRPr="00E44753">
        <w:rPr>
          <w:i w:val="0"/>
          <w:iCs w:val="0"/>
          <w:sz w:val="22"/>
          <w:szCs w:val="20"/>
        </w:rPr>
        <w:tab/>
      </w:r>
      <w:r w:rsidR="00467E96">
        <w:rPr>
          <w:i w:val="0"/>
          <w:iCs w:val="0"/>
          <w:sz w:val="22"/>
          <w:szCs w:val="20"/>
        </w:rPr>
        <w:t xml:space="preserve">           </w:t>
      </w:r>
      <w:proofErr w:type="gramStart"/>
      <w:r w:rsidR="00467E96">
        <w:rPr>
          <w:i w:val="0"/>
          <w:iCs w:val="0"/>
          <w:sz w:val="22"/>
          <w:szCs w:val="20"/>
        </w:rPr>
        <w:t xml:space="preserve">   </w:t>
      </w:r>
      <w:r w:rsidRPr="00467E96">
        <w:rPr>
          <w:rFonts w:ascii="Source Sans Pro" w:hAnsi="Source Sans Pro"/>
          <w:color w:val="ED7D31" w:themeColor="accent2"/>
          <w:sz w:val="20"/>
          <w:szCs w:val="28"/>
        </w:rPr>
        <w:t>(</w:t>
      </w:r>
      <w:proofErr w:type="gramEnd"/>
      <w:r w:rsidRPr="00467E96">
        <w:rPr>
          <w:rFonts w:ascii="Source Sans Pro" w:hAnsi="Source Sans Pro"/>
          <w:color w:val="ED7D31" w:themeColor="accent2"/>
          <w:sz w:val="20"/>
          <w:szCs w:val="28"/>
        </w:rPr>
        <w:t xml:space="preserve">Select any one) </w:t>
      </w:r>
    </w:p>
    <w:p w14:paraId="5FD6523F" w14:textId="77777777" w:rsidR="00741ACD" w:rsidRPr="00E44753" w:rsidRDefault="00741ACD" w:rsidP="00E44753">
      <w:pPr>
        <w:pStyle w:val="Title"/>
        <w:spacing w:line="240" w:lineRule="auto"/>
        <w:jc w:val="left"/>
        <w:rPr>
          <w:i w:val="0"/>
          <w:iCs w:val="0"/>
          <w:color w:val="000000"/>
          <w:sz w:val="22"/>
          <w:szCs w:val="20"/>
        </w:rPr>
      </w:pPr>
    </w:p>
    <w:p w14:paraId="6A8B0D8D" w14:textId="12F4EA11" w:rsidR="00741ACD" w:rsidRPr="00E44753" w:rsidRDefault="003013CF" w:rsidP="00E44753">
      <w:pPr>
        <w:pStyle w:val="Title"/>
        <w:spacing w:line="240" w:lineRule="auto"/>
        <w:jc w:val="both"/>
        <w:rPr>
          <w:b w:val="0"/>
          <w:i w:val="0"/>
          <w:iCs w:val="0"/>
          <w:sz w:val="22"/>
          <w:szCs w:val="20"/>
          <w:highlight w:val="cyan"/>
        </w:rPr>
      </w:pPr>
      <w:r w:rsidRPr="003013CF">
        <w:rPr>
          <w:i w:val="0"/>
          <w:iCs w:val="0"/>
          <w:sz w:val="28"/>
          <w:szCs w:val="28"/>
          <w:lang w:val="en-IN"/>
        </w:rPr>
        <w:t xml:space="preserve">Evaluation of Antiseizure Activity of Chloroform (Soxhlet) and Aqueous (Cold Macerated) Leaf Extracts of </w:t>
      </w:r>
      <w:proofErr w:type="spellStart"/>
      <w:r w:rsidRPr="003013CF">
        <w:rPr>
          <w:i w:val="0"/>
          <w:iCs w:val="0"/>
          <w:sz w:val="28"/>
          <w:szCs w:val="28"/>
          <w:lang w:val="en-IN"/>
        </w:rPr>
        <w:t>Nyctanthes</w:t>
      </w:r>
      <w:proofErr w:type="spellEnd"/>
      <w:r w:rsidRPr="003013CF">
        <w:rPr>
          <w:i w:val="0"/>
          <w:iCs w:val="0"/>
          <w:sz w:val="28"/>
          <w:szCs w:val="28"/>
          <w:lang w:val="en-IN"/>
        </w:rPr>
        <w:t xml:space="preserve"> </w:t>
      </w:r>
      <w:proofErr w:type="spellStart"/>
      <w:r w:rsidRPr="003013CF">
        <w:rPr>
          <w:i w:val="0"/>
          <w:iCs w:val="0"/>
          <w:sz w:val="28"/>
          <w:szCs w:val="28"/>
          <w:lang w:val="en-IN"/>
        </w:rPr>
        <w:t>arbor</w:t>
      </w:r>
      <w:proofErr w:type="spellEnd"/>
      <w:r w:rsidRPr="003013CF">
        <w:rPr>
          <w:i w:val="0"/>
          <w:iCs w:val="0"/>
          <w:sz w:val="28"/>
          <w:szCs w:val="28"/>
          <w:lang w:val="en-IN"/>
        </w:rPr>
        <w:t>-tristis in PTZ and MES Models in Mice</w:t>
      </w:r>
      <w:r w:rsidR="00467E96">
        <w:rPr>
          <w:i w:val="0"/>
          <w:iCs w:val="0"/>
          <w:sz w:val="28"/>
          <w:szCs w:val="28"/>
          <w:lang w:val="en-IN"/>
        </w:rPr>
        <w:t xml:space="preserve">                                                   </w:t>
      </w:r>
      <w:r w:rsidR="00741ACD" w:rsidRPr="00467E96">
        <w:rPr>
          <w:rFonts w:ascii="Source Sans Pro" w:hAnsi="Source Sans Pro"/>
          <w:bCs w:val="0"/>
          <w:color w:val="ED7D31" w:themeColor="accent2"/>
          <w:sz w:val="22"/>
          <w:szCs w:val="20"/>
        </w:rPr>
        <w:t>Title (Times New Roman front 14 Bold)</w:t>
      </w:r>
      <w:r w:rsidR="00741ACD" w:rsidRPr="00467E96">
        <w:rPr>
          <w:b w:val="0"/>
          <w:i w:val="0"/>
          <w:iCs w:val="0"/>
          <w:color w:val="ED7D31" w:themeColor="accent2"/>
          <w:sz w:val="22"/>
          <w:szCs w:val="20"/>
          <w:highlight w:val="cyan"/>
        </w:rPr>
        <w:t xml:space="preserve"> </w:t>
      </w:r>
    </w:p>
    <w:p w14:paraId="7393BC4D" w14:textId="77777777" w:rsidR="00225D4A" w:rsidRPr="00E44753" w:rsidRDefault="00225D4A" w:rsidP="00E44753">
      <w:pPr>
        <w:rPr>
          <w:b/>
          <w:sz w:val="28"/>
          <w:szCs w:val="28"/>
        </w:rPr>
      </w:pPr>
    </w:p>
    <w:p w14:paraId="05ABCD43" w14:textId="77777777" w:rsidR="00B606C4" w:rsidRPr="00E44753" w:rsidRDefault="00B606C4" w:rsidP="00E44753">
      <w:pPr>
        <w:rPr>
          <w:sz w:val="28"/>
          <w:szCs w:val="28"/>
        </w:rPr>
      </w:pPr>
    </w:p>
    <w:p w14:paraId="6E56508B" w14:textId="7794B4A2" w:rsidR="00467E96" w:rsidRPr="00467E96" w:rsidRDefault="003013CF" w:rsidP="00467E96">
      <w:pPr>
        <w:pStyle w:val="Title"/>
        <w:spacing w:line="240" w:lineRule="auto"/>
        <w:jc w:val="both"/>
        <w:rPr>
          <w:rFonts w:ascii="Source Sans Pro" w:hAnsi="Source Sans Pro"/>
          <w:bCs w:val="0"/>
          <w:i w:val="0"/>
          <w:iCs w:val="0"/>
          <w:color w:val="ED7D31" w:themeColor="accent2"/>
          <w:sz w:val="22"/>
          <w:szCs w:val="20"/>
        </w:rPr>
      </w:pPr>
      <w:r w:rsidRPr="003013CF">
        <w:rPr>
          <w:i w:val="0"/>
          <w:iCs w:val="0"/>
          <w:sz w:val="22"/>
          <w:szCs w:val="28"/>
          <w:lang w:val="en-IN"/>
        </w:rPr>
        <w:t>Isabella Morales</w:t>
      </w:r>
      <w:r w:rsidR="00B606C4" w:rsidRPr="00E44753">
        <w:rPr>
          <w:i w:val="0"/>
          <w:iCs w:val="0"/>
          <w:sz w:val="22"/>
          <w:szCs w:val="28"/>
        </w:rPr>
        <w:t xml:space="preserve">, </w:t>
      </w:r>
      <w:r w:rsidRPr="003013CF">
        <w:rPr>
          <w:i w:val="0"/>
          <w:iCs w:val="0"/>
          <w:sz w:val="22"/>
          <w:szCs w:val="28"/>
          <w:lang w:val="en-IN"/>
        </w:rPr>
        <w:t>Luis Herrera</w:t>
      </w:r>
      <w:r w:rsidR="00741ACD" w:rsidRPr="00E44753">
        <w:rPr>
          <w:b w:val="0"/>
          <w:bCs w:val="0"/>
          <w:i w:val="0"/>
          <w:iCs w:val="0"/>
          <w:sz w:val="22"/>
          <w:szCs w:val="28"/>
        </w:rPr>
        <w:t xml:space="preserve">, </w:t>
      </w:r>
      <w:r w:rsidRPr="003013CF">
        <w:rPr>
          <w:i w:val="0"/>
          <w:iCs w:val="0"/>
          <w:sz w:val="22"/>
          <w:szCs w:val="28"/>
          <w:lang w:val="en-IN"/>
        </w:rPr>
        <w:t>Marco Rossi</w:t>
      </w:r>
      <w:r w:rsidR="00B606C4" w:rsidRPr="00E44753">
        <w:rPr>
          <w:i w:val="0"/>
          <w:iCs w:val="0"/>
          <w:sz w:val="22"/>
          <w:szCs w:val="28"/>
        </w:rPr>
        <w:t>*</w:t>
      </w:r>
      <w:r w:rsidR="00467E96">
        <w:rPr>
          <w:i w:val="0"/>
          <w:iCs w:val="0"/>
          <w:sz w:val="22"/>
          <w:szCs w:val="28"/>
        </w:rPr>
        <w:t xml:space="preserve">        </w:t>
      </w:r>
      <w:r w:rsidR="00467E96" w:rsidRPr="00467E96">
        <w:rPr>
          <w:rFonts w:ascii="Source Sans Pro" w:hAnsi="Source Sans Pro"/>
          <w:bCs w:val="0"/>
          <w:color w:val="ED7D31" w:themeColor="accent2"/>
          <w:sz w:val="22"/>
          <w:szCs w:val="20"/>
        </w:rPr>
        <w:t>Author (S) (Times New Roman front 11 Bold)</w:t>
      </w:r>
    </w:p>
    <w:p w14:paraId="2AEE3D69" w14:textId="005CCC6D" w:rsidR="00E44753" w:rsidRDefault="00E44753" w:rsidP="00E44753">
      <w:pPr>
        <w:pStyle w:val="Title"/>
        <w:spacing w:line="240" w:lineRule="auto"/>
        <w:jc w:val="both"/>
        <w:rPr>
          <w:b w:val="0"/>
          <w:i w:val="0"/>
          <w:iCs w:val="0"/>
          <w:sz w:val="22"/>
          <w:szCs w:val="20"/>
          <w:highlight w:val="cyan"/>
        </w:rPr>
      </w:pPr>
    </w:p>
    <w:p w14:paraId="10B6B638" w14:textId="77777777" w:rsidR="00E44753" w:rsidRDefault="00E44753" w:rsidP="00E44753">
      <w:pPr>
        <w:pStyle w:val="Title"/>
        <w:spacing w:line="240" w:lineRule="auto"/>
        <w:jc w:val="both"/>
        <w:rPr>
          <w:b w:val="0"/>
          <w:i w:val="0"/>
          <w:iCs w:val="0"/>
          <w:sz w:val="22"/>
          <w:szCs w:val="20"/>
          <w:highlight w:val="cyan"/>
        </w:rPr>
      </w:pPr>
    </w:p>
    <w:p w14:paraId="64262786" w14:textId="77777777" w:rsidR="00B606C4" w:rsidRPr="00E44753" w:rsidRDefault="00B606C4" w:rsidP="00E44753">
      <w:pPr>
        <w:jc w:val="both"/>
        <w:rPr>
          <w:b/>
          <w:bCs/>
          <w:sz w:val="22"/>
          <w:szCs w:val="28"/>
          <w:vertAlign w:val="superscript"/>
        </w:rPr>
      </w:pPr>
    </w:p>
    <w:p w14:paraId="425B3043" w14:textId="446CB80D" w:rsidR="00E44753" w:rsidRDefault="003013CF" w:rsidP="00E44753">
      <w:pPr>
        <w:pStyle w:val="Title"/>
        <w:spacing w:line="240" w:lineRule="auto"/>
        <w:jc w:val="both"/>
        <w:rPr>
          <w:sz w:val="20"/>
        </w:rPr>
      </w:pPr>
      <w:r w:rsidRPr="003013CF">
        <w:rPr>
          <w:b w:val="0"/>
          <w:bCs w:val="0"/>
          <w:i w:val="0"/>
          <w:iCs w:val="0"/>
          <w:sz w:val="20"/>
          <w:lang w:val="en-IN"/>
        </w:rPr>
        <w:t>Department of Pharmacology, College of Pharmacy, Midwestern State University, Wichita Falls, United States.</w:t>
      </w:r>
    </w:p>
    <w:p w14:paraId="3F574040" w14:textId="77DF8BFA" w:rsidR="00741ACD" w:rsidRPr="00467E96" w:rsidRDefault="00467E96" w:rsidP="00E44753">
      <w:pPr>
        <w:pStyle w:val="Title"/>
        <w:spacing w:line="240" w:lineRule="auto"/>
        <w:jc w:val="both"/>
        <w:rPr>
          <w:rFonts w:ascii="Source Sans Pro" w:hAnsi="Source Sans Pro"/>
          <w:bCs w:val="0"/>
          <w:color w:val="ED7D31" w:themeColor="accent2"/>
          <w:sz w:val="22"/>
          <w:szCs w:val="20"/>
        </w:rPr>
      </w:pPr>
      <w:r>
        <w:rPr>
          <w:rFonts w:ascii="Source Sans Pro" w:hAnsi="Source Sans Pro"/>
          <w:bCs w:val="0"/>
          <w:color w:val="ED7D31" w:themeColor="accent2"/>
          <w:sz w:val="22"/>
          <w:szCs w:val="20"/>
        </w:rPr>
        <w:t xml:space="preserve">                                                                                                  </w:t>
      </w:r>
      <w:r w:rsidR="00741ACD" w:rsidRPr="00467E96">
        <w:rPr>
          <w:rFonts w:ascii="Source Sans Pro" w:hAnsi="Source Sans Pro"/>
          <w:bCs w:val="0"/>
          <w:color w:val="ED7D31" w:themeColor="accent2"/>
          <w:sz w:val="22"/>
          <w:szCs w:val="20"/>
        </w:rPr>
        <w:t>Author (S) Affiliation (Times New Roman front 10)</w:t>
      </w:r>
    </w:p>
    <w:p w14:paraId="11489CC9" w14:textId="77777777" w:rsidR="00E74611" w:rsidRPr="00277ED3" w:rsidRDefault="00E74611" w:rsidP="00E44753">
      <w:pPr>
        <w:jc w:val="both"/>
        <w:rPr>
          <w:color w:val="000000"/>
          <w:sz w:val="20"/>
        </w:rPr>
      </w:pPr>
    </w:p>
    <w:p w14:paraId="29B39414" w14:textId="77777777" w:rsidR="00E74611" w:rsidRPr="00277ED3" w:rsidRDefault="00E74611" w:rsidP="00E44753">
      <w:pPr>
        <w:jc w:val="both"/>
        <w:rPr>
          <w:color w:val="000000"/>
        </w:rPr>
      </w:pPr>
    </w:p>
    <w:p w14:paraId="69447A8F" w14:textId="77777777" w:rsidR="00E74611" w:rsidRPr="00277ED3" w:rsidRDefault="00E74611" w:rsidP="00E44753">
      <w:pPr>
        <w:jc w:val="both"/>
        <w:rPr>
          <w:color w:val="000000"/>
        </w:rPr>
      </w:pPr>
    </w:p>
    <w:p w14:paraId="031EC21B" w14:textId="77777777" w:rsidR="00E74611" w:rsidRPr="00277ED3" w:rsidRDefault="00E74611" w:rsidP="00E44753">
      <w:pPr>
        <w:jc w:val="both"/>
        <w:rPr>
          <w:color w:val="000000"/>
        </w:rPr>
      </w:pPr>
    </w:p>
    <w:p w14:paraId="4E09267A" w14:textId="77777777" w:rsidR="00E74611" w:rsidRPr="00277ED3" w:rsidRDefault="00E74611" w:rsidP="00E44753">
      <w:pPr>
        <w:jc w:val="both"/>
        <w:rPr>
          <w:color w:val="000000"/>
        </w:rPr>
      </w:pPr>
    </w:p>
    <w:p w14:paraId="5015F7A7" w14:textId="77777777" w:rsidR="002465EE" w:rsidRPr="00277ED3" w:rsidRDefault="002465EE" w:rsidP="00E44753">
      <w:pPr>
        <w:jc w:val="both"/>
        <w:rPr>
          <w:color w:val="000000"/>
        </w:rPr>
      </w:pPr>
    </w:p>
    <w:p w14:paraId="75CAB0A2" w14:textId="77777777" w:rsidR="002465EE" w:rsidRPr="00277ED3" w:rsidRDefault="002465EE" w:rsidP="00E44753">
      <w:pPr>
        <w:jc w:val="both"/>
        <w:rPr>
          <w:color w:val="000000"/>
        </w:rPr>
      </w:pPr>
    </w:p>
    <w:p w14:paraId="7BE7376D" w14:textId="77777777" w:rsidR="002465EE" w:rsidRPr="00277ED3" w:rsidRDefault="002465EE" w:rsidP="00E44753">
      <w:pPr>
        <w:jc w:val="both"/>
        <w:rPr>
          <w:color w:val="000000"/>
        </w:rPr>
      </w:pPr>
    </w:p>
    <w:p w14:paraId="7046451C" w14:textId="77777777" w:rsidR="002465EE" w:rsidRPr="00277ED3" w:rsidRDefault="002465EE" w:rsidP="00E44753">
      <w:pPr>
        <w:jc w:val="both"/>
        <w:rPr>
          <w:color w:val="000000"/>
        </w:rPr>
      </w:pPr>
    </w:p>
    <w:p w14:paraId="52D62E65" w14:textId="77777777" w:rsidR="002465EE" w:rsidRPr="00277ED3" w:rsidRDefault="002465EE" w:rsidP="00E44753">
      <w:pPr>
        <w:jc w:val="both"/>
        <w:rPr>
          <w:color w:val="000000"/>
        </w:rPr>
      </w:pPr>
    </w:p>
    <w:p w14:paraId="7DBEAFD4" w14:textId="77777777" w:rsidR="002465EE" w:rsidRPr="00277ED3" w:rsidRDefault="00B606C4" w:rsidP="00E44753">
      <w:pPr>
        <w:jc w:val="both"/>
        <w:rPr>
          <w:color w:val="000000"/>
        </w:rPr>
      </w:pPr>
      <w:r w:rsidRPr="00277ED3">
        <w:rPr>
          <w:color w:val="000000"/>
        </w:rPr>
        <w:t>*</w:t>
      </w:r>
      <w:r w:rsidR="002465EE" w:rsidRPr="00277ED3">
        <w:rPr>
          <w:color w:val="000000"/>
        </w:rPr>
        <w:t>Corresponding</w:t>
      </w:r>
      <w:r w:rsidRPr="00277ED3">
        <w:rPr>
          <w:color w:val="000000"/>
        </w:rPr>
        <w:t xml:space="preserve"> author: </w:t>
      </w:r>
    </w:p>
    <w:p w14:paraId="176C61BD" w14:textId="49780802" w:rsidR="002465EE" w:rsidRPr="00E44753" w:rsidRDefault="003013CF" w:rsidP="00E44753">
      <w:pPr>
        <w:jc w:val="both"/>
      </w:pPr>
      <w:r w:rsidRPr="003013CF">
        <w:t>Department of Pharmacology</w:t>
      </w:r>
      <w:r w:rsidR="00B606C4" w:rsidRPr="00E44753">
        <w:t xml:space="preserve">, </w:t>
      </w:r>
    </w:p>
    <w:p w14:paraId="53453C73" w14:textId="77777777" w:rsidR="003013CF" w:rsidRDefault="003013CF" w:rsidP="00E44753">
      <w:pPr>
        <w:jc w:val="both"/>
      </w:pPr>
      <w:r w:rsidRPr="003013CF">
        <w:t>College of Pharmacy,</w:t>
      </w:r>
    </w:p>
    <w:p w14:paraId="55C370B2" w14:textId="222CE72A" w:rsidR="002465EE" w:rsidRPr="00E44753" w:rsidRDefault="003013CF" w:rsidP="00E44753">
      <w:pPr>
        <w:jc w:val="both"/>
      </w:pPr>
      <w:r w:rsidRPr="003013CF">
        <w:t>Midwestern State University</w:t>
      </w:r>
      <w:r w:rsidR="00B606C4" w:rsidRPr="00E44753">
        <w:t xml:space="preserve">, </w:t>
      </w:r>
    </w:p>
    <w:p w14:paraId="45C7523A" w14:textId="056DCD33" w:rsidR="00B606C4" w:rsidRPr="00E44753" w:rsidRDefault="003013CF" w:rsidP="00E44753">
      <w:pPr>
        <w:jc w:val="both"/>
      </w:pPr>
      <w:r w:rsidRPr="003013CF">
        <w:t>Wichita Falls</w:t>
      </w:r>
      <w:r w:rsidR="00B606C4" w:rsidRPr="00E44753">
        <w:t xml:space="preserve">, </w:t>
      </w:r>
      <w:r w:rsidRPr="003013CF">
        <w:t>United States.</w:t>
      </w:r>
    </w:p>
    <w:p w14:paraId="0AAA54B0" w14:textId="312CB4CB" w:rsidR="00B606C4" w:rsidRPr="00E44753" w:rsidRDefault="00B606C4" w:rsidP="00E44753">
      <w:pPr>
        <w:jc w:val="both"/>
      </w:pPr>
      <w:r w:rsidRPr="00E44753">
        <w:rPr>
          <w:b/>
        </w:rPr>
        <w:t xml:space="preserve">E-mail address: </w:t>
      </w:r>
      <w:hyperlink r:id="rId8" w:history="1">
        <w:r w:rsidR="003013CF" w:rsidRPr="0055605E">
          <w:rPr>
            <w:rStyle w:val="Hyperlink"/>
          </w:rPr>
          <w:t>marcor_73@rediffmail.com</w:t>
        </w:r>
      </w:hyperlink>
    </w:p>
    <w:p w14:paraId="437FA0B4" w14:textId="58BD6D6C" w:rsidR="00E74611" w:rsidRPr="00E44753" w:rsidRDefault="00E74611" w:rsidP="00E44753">
      <w:pPr>
        <w:pStyle w:val="Body"/>
        <w:spacing w:after="0" w:line="240" w:lineRule="auto"/>
        <w:rPr>
          <w:rFonts w:ascii="Times New Roman" w:hAnsi="Times New Roman" w:cs="Times New Roman"/>
          <w:sz w:val="24"/>
          <w:szCs w:val="24"/>
        </w:rPr>
      </w:pPr>
      <w:r w:rsidRPr="00E44753">
        <w:rPr>
          <w:rFonts w:ascii="Times New Roman" w:hAnsi="Times New Roman" w:cs="Times New Roman"/>
          <w:bCs/>
          <w:sz w:val="24"/>
          <w:szCs w:val="24"/>
        </w:rPr>
        <w:t>Tel: +</w:t>
      </w:r>
      <w:r w:rsidR="00E94928" w:rsidRPr="00E94928">
        <w:rPr>
          <w:rFonts w:ascii="Times New Roman" w:hAnsi="Times New Roman" w:cs="Times New Roman"/>
          <w:bCs/>
          <w:sz w:val="24"/>
          <w:szCs w:val="24"/>
          <w:lang w:val="en-IN"/>
        </w:rPr>
        <w:t>1 (312) 555-7842</w:t>
      </w:r>
      <w:r w:rsidRPr="00E44753">
        <w:rPr>
          <w:rFonts w:ascii="Times New Roman" w:hAnsi="Times New Roman" w:cs="Times New Roman"/>
          <w:bCs/>
          <w:sz w:val="24"/>
          <w:szCs w:val="24"/>
        </w:rPr>
        <w:t xml:space="preserve">; Fax: </w:t>
      </w:r>
      <w:r w:rsidR="00E94928" w:rsidRPr="00E94928">
        <w:rPr>
          <w:rFonts w:ascii="Times New Roman" w:hAnsi="Times New Roman" w:cs="Times New Roman"/>
          <w:bCs/>
          <w:sz w:val="24"/>
          <w:szCs w:val="24"/>
          <w:lang w:val="en-IN"/>
        </w:rPr>
        <w:t>+1 (312) 555-7899</w:t>
      </w:r>
    </w:p>
    <w:p w14:paraId="1244FF25" w14:textId="77777777" w:rsidR="00741ACD" w:rsidRPr="00277ED3" w:rsidRDefault="00741ACD" w:rsidP="00E44753">
      <w:pPr>
        <w:pStyle w:val="Body"/>
        <w:spacing w:after="0" w:line="240" w:lineRule="auto"/>
        <w:jc w:val="both"/>
        <w:rPr>
          <w:rFonts w:ascii="Times New Roman" w:hAnsi="Times New Roman" w:cs="Times New Roman"/>
          <w:b/>
          <w:bCs/>
          <w:szCs w:val="20"/>
          <w:lang w:val="de-DE"/>
        </w:rPr>
      </w:pPr>
    </w:p>
    <w:p w14:paraId="7BFCFB8A" w14:textId="77777777" w:rsidR="00741ACD" w:rsidRPr="00277ED3" w:rsidRDefault="00741ACD" w:rsidP="00E44753">
      <w:pPr>
        <w:pStyle w:val="Body"/>
        <w:spacing w:after="0" w:line="240" w:lineRule="auto"/>
        <w:jc w:val="both"/>
        <w:rPr>
          <w:rFonts w:ascii="Times New Roman" w:hAnsi="Times New Roman" w:cs="Times New Roman"/>
          <w:b/>
          <w:bCs/>
          <w:szCs w:val="20"/>
          <w:lang w:val="de-DE"/>
        </w:rPr>
      </w:pPr>
    </w:p>
    <w:p w14:paraId="334AD9D1" w14:textId="77777777" w:rsidR="00741ACD" w:rsidRPr="00277ED3" w:rsidRDefault="00741ACD" w:rsidP="00E44753">
      <w:pPr>
        <w:pStyle w:val="Body"/>
        <w:spacing w:after="0" w:line="240" w:lineRule="auto"/>
        <w:jc w:val="both"/>
        <w:rPr>
          <w:rFonts w:ascii="Times New Roman" w:hAnsi="Times New Roman" w:cs="Times New Roman"/>
          <w:b/>
          <w:bCs/>
          <w:szCs w:val="20"/>
          <w:lang w:val="de-DE"/>
        </w:rPr>
      </w:pPr>
    </w:p>
    <w:p w14:paraId="5992E3FE" w14:textId="77777777" w:rsidR="00741ACD" w:rsidRPr="00277ED3" w:rsidRDefault="00741ACD" w:rsidP="00E44753">
      <w:pPr>
        <w:pStyle w:val="Body"/>
        <w:spacing w:after="0" w:line="240" w:lineRule="auto"/>
        <w:jc w:val="both"/>
        <w:rPr>
          <w:rFonts w:ascii="Times New Roman" w:hAnsi="Times New Roman" w:cs="Times New Roman"/>
          <w:b/>
          <w:bCs/>
          <w:szCs w:val="20"/>
          <w:lang w:val="de-DE"/>
        </w:rPr>
      </w:pPr>
    </w:p>
    <w:p w14:paraId="73416289"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2E6E04C0"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4DB911A4"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4FE69CE4"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5D1DA846"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55CD7047"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45592E62"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0955303C"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24281DFA"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3212D1CB"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170727A6"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0888C90D"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02959E9D"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40F2AAED" w14:textId="77777777" w:rsidR="00277ED3" w:rsidRPr="00277ED3" w:rsidRDefault="00277ED3" w:rsidP="00E44753">
      <w:pPr>
        <w:pStyle w:val="Body"/>
        <w:spacing w:after="0" w:line="240" w:lineRule="auto"/>
        <w:jc w:val="both"/>
        <w:rPr>
          <w:rFonts w:ascii="Times New Roman" w:hAnsi="Times New Roman" w:cs="Times New Roman"/>
          <w:b/>
          <w:bCs/>
          <w:szCs w:val="20"/>
          <w:lang w:val="de-DE"/>
        </w:rPr>
      </w:pPr>
    </w:p>
    <w:p w14:paraId="1BAA00D2" w14:textId="77777777" w:rsidR="00E94928" w:rsidRDefault="00E94928" w:rsidP="00E44753">
      <w:pPr>
        <w:jc w:val="both"/>
        <w:rPr>
          <w:b/>
          <w:bCs/>
          <w:color w:val="000000"/>
          <w:szCs w:val="20"/>
          <w:lang w:val="de-DE"/>
        </w:rPr>
      </w:pPr>
    </w:p>
    <w:p w14:paraId="45A6F221" w14:textId="77777777" w:rsidR="00E94928" w:rsidRDefault="00E94928" w:rsidP="00E44753">
      <w:pPr>
        <w:jc w:val="both"/>
        <w:rPr>
          <w:b/>
          <w:bCs/>
          <w:color w:val="000000"/>
          <w:szCs w:val="20"/>
          <w:lang w:val="de-DE"/>
        </w:rPr>
      </w:pPr>
    </w:p>
    <w:p w14:paraId="15214511" w14:textId="77777777" w:rsidR="00E94928" w:rsidRDefault="00E94928" w:rsidP="00E44753">
      <w:pPr>
        <w:jc w:val="both"/>
        <w:rPr>
          <w:b/>
          <w:bCs/>
          <w:color w:val="000000"/>
          <w:szCs w:val="20"/>
          <w:lang w:val="de-DE"/>
        </w:rPr>
      </w:pPr>
    </w:p>
    <w:p w14:paraId="43C81320" w14:textId="77777777" w:rsidR="00661DF9" w:rsidRDefault="00741ACD" w:rsidP="00E44753">
      <w:pPr>
        <w:jc w:val="both"/>
        <w:rPr>
          <w:b/>
          <w:bCs/>
          <w:color w:val="000000"/>
          <w:szCs w:val="20"/>
          <w:lang w:val="de-DE"/>
        </w:rPr>
      </w:pPr>
      <w:r w:rsidRPr="00277ED3">
        <w:rPr>
          <w:b/>
          <w:bCs/>
          <w:color w:val="000000"/>
          <w:szCs w:val="20"/>
          <w:lang w:val="de-DE"/>
        </w:rPr>
        <w:lastRenderedPageBreak/>
        <w:t xml:space="preserve">ABSTRACT: </w:t>
      </w:r>
      <w:r w:rsidR="00661DF9">
        <w:rPr>
          <w:b/>
          <w:bCs/>
          <w:color w:val="000000"/>
          <w:szCs w:val="20"/>
          <w:lang w:val="de-DE"/>
        </w:rPr>
        <w:t xml:space="preserve">                                                                   </w:t>
      </w:r>
    </w:p>
    <w:p w14:paraId="25CDE089" w14:textId="21AE0C52" w:rsidR="00741ACD" w:rsidRPr="00661DF9" w:rsidRDefault="00661DF9" w:rsidP="00E44753">
      <w:pPr>
        <w:jc w:val="both"/>
        <w:rPr>
          <w:b/>
          <w:bCs/>
          <w:color w:val="000000"/>
          <w:szCs w:val="20"/>
          <w:lang w:val="de-DE"/>
        </w:rPr>
      </w:pPr>
      <w:r>
        <w:rPr>
          <w:b/>
          <w:bCs/>
          <w:color w:val="000000"/>
          <w:szCs w:val="20"/>
          <w:lang w:val="de-DE"/>
        </w:rPr>
        <w:t xml:space="preserve">                                                                                            </w:t>
      </w:r>
      <w:r w:rsidR="00741ACD" w:rsidRPr="00661DF9">
        <w:rPr>
          <w:rFonts w:ascii="Source Sans Pro" w:hAnsi="Source Sans Pro"/>
          <w:b/>
          <w:i/>
          <w:iCs/>
          <w:color w:val="ED7D31" w:themeColor="accent2"/>
          <w:sz w:val="20"/>
          <w:szCs w:val="20"/>
        </w:rPr>
        <w:t>(Times New Roman front 11 Bold Capital)</w:t>
      </w:r>
    </w:p>
    <w:p w14:paraId="4BEF4487" w14:textId="77777777" w:rsidR="00225D4A" w:rsidRPr="00277ED3" w:rsidRDefault="00225D4A" w:rsidP="00E44753">
      <w:pPr>
        <w:pStyle w:val="Body"/>
        <w:spacing w:after="0" w:line="240" w:lineRule="auto"/>
        <w:jc w:val="both"/>
        <w:rPr>
          <w:rFonts w:ascii="Times New Roman" w:eastAsia="Times New Roman" w:hAnsi="Times New Roman" w:cs="Times New Roman"/>
          <w:b/>
          <w:bCs/>
          <w:szCs w:val="20"/>
        </w:rPr>
      </w:pPr>
    </w:p>
    <w:p w14:paraId="39CE570D" w14:textId="77777777" w:rsidR="00661DF9" w:rsidRDefault="00E94928" w:rsidP="00E44753">
      <w:pPr>
        <w:rPr>
          <w:sz w:val="20"/>
          <w:szCs w:val="20"/>
          <w:shd w:val="clear" w:color="auto" w:fill="FFFFFF"/>
        </w:rPr>
      </w:pPr>
      <w:proofErr w:type="spellStart"/>
      <w:r w:rsidRPr="00E94928">
        <w:rPr>
          <w:sz w:val="20"/>
          <w:szCs w:val="20"/>
          <w:shd w:val="clear" w:color="auto" w:fill="FFFFFF"/>
        </w:rPr>
        <w:t>Nyctanthes</w:t>
      </w:r>
      <w:proofErr w:type="spellEnd"/>
      <w:r w:rsidRPr="00E94928">
        <w:rPr>
          <w:sz w:val="20"/>
          <w:szCs w:val="20"/>
          <w:shd w:val="clear" w:color="auto" w:fill="FFFFFF"/>
        </w:rPr>
        <w:t xml:space="preserve"> </w:t>
      </w:r>
      <w:proofErr w:type="spellStart"/>
      <w:r w:rsidRPr="00E94928">
        <w:rPr>
          <w:sz w:val="20"/>
          <w:szCs w:val="20"/>
          <w:shd w:val="clear" w:color="auto" w:fill="FFFFFF"/>
        </w:rPr>
        <w:t>arbor</w:t>
      </w:r>
      <w:proofErr w:type="spellEnd"/>
      <w:r w:rsidRPr="00E94928">
        <w:rPr>
          <w:sz w:val="20"/>
          <w:szCs w:val="20"/>
          <w:shd w:val="clear" w:color="auto" w:fill="FFFFFF"/>
        </w:rPr>
        <w:t xml:space="preserve">-tristis has been traditionally valued for its neurological and therapeutic applications in Indian medicinal systems. The present investigation assessed the anticonvulsant potential of chloroform leaf extract obtained through Soxhlet extraction and aqueous leaf extract prepared by cold maceration. Both extracts were evaluated in mice using two standard seizure models: pentylenetetrazole (PTZ)-induced </w:t>
      </w:r>
      <w:proofErr w:type="spellStart"/>
      <w:r w:rsidRPr="00E94928">
        <w:rPr>
          <w:sz w:val="20"/>
          <w:szCs w:val="20"/>
          <w:shd w:val="clear" w:color="auto" w:fill="FFFFFF"/>
        </w:rPr>
        <w:t>clonic</w:t>
      </w:r>
      <w:proofErr w:type="spellEnd"/>
      <w:r w:rsidRPr="00E94928">
        <w:rPr>
          <w:sz w:val="20"/>
          <w:szCs w:val="20"/>
          <w:shd w:val="clear" w:color="auto" w:fill="FFFFFF"/>
        </w:rPr>
        <w:t xml:space="preserve"> convulsions and maximal electroshock seizure (MES)-induced tonic hind limb extension. </w:t>
      </w:r>
      <w:proofErr w:type="spellStart"/>
      <w:r w:rsidRPr="00E94928">
        <w:rPr>
          <w:sz w:val="20"/>
          <w:szCs w:val="20"/>
          <w:shd w:val="clear" w:color="auto" w:fill="FFFFFF"/>
        </w:rPr>
        <w:t>Behavioral</w:t>
      </w:r>
      <w:proofErr w:type="spellEnd"/>
      <w:r w:rsidRPr="00E94928">
        <w:rPr>
          <w:sz w:val="20"/>
          <w:szCs w:val="20"/>
          <w:shd w:val="clear" w:color="auto" w:fill="FFFFFF"/>
        </w:rPr>
        <w:t xml:space="preserve"> and seizure protection parameters were recorded to determine the extent of antiseizure activity. Potential neurotoxic effects, including sedation or impairment in motor coordination, were monitored using the rota-rod performance test. Preliminary phytochemical profiling revealed the presence of alkaloids, flavonoids, tannins, glycosides, and other secondary metabolites, which may contribute to the observed pharmacological actions. The extracts exhibited acceptable acute toxicity profiles and demonstrated dose-dependent protection in both seizure models. These findings indicate that N. </w:t>
      </w:r>
      <w:proofErr w:type="spellStart"/>
      <w:r w:rsidRPr="00E94928">
        <w:rPr>
          <w:sz w:val="20"/>
          <w:szCs w:val="20"/>
          <w:shd w:val="clear" w:color="auto" w:fill="FFFFFF"/>
        </w:rPr>
        <w:t>arbor</w:t>
      </w:r>
      <w:proofErr w:type="spellEnd"/>
      <w:r w:rsidRPr="00E94928">
        <w:rPr>
          <w:sz w:val="20"/>
          <w:szCs w:val="20"/>
          <w:shd w:val="clear" w:color="auto" w:fill="FFFFFF"/>
        </w:rPr>
        <w:t>-tristis leaf extracts possess promising anticonvulsant properties, warranting further studies to isolate active constituents and elucidate underlying mechanisms.</w:t>
      </w:r>
      <w:r w:rsidR="00661DF9">
        <w:rPr>
          <w:sz w:val="20"/>
          <w:szCs w:val="20"/>
          <w:shd w:val="clear" w:color="auto" w:fill="FFFFFF"/>
        </w:rPr>
        <w:t xml:space="preserve">   </w:t>
      </w:r>
    </w:p>
    <w:p w14:paraId="3BEE66D0" w14:textId="649D5A11" w:rsidR="00661DF9" w:rsidRPr="00661DF9" w:rsidRDefault="00661DF9" w:rsidP="00661DF9">
      <w:pPr>
        <w:autoSpaceDE w:val="0"/>
        <w:autoSpaceDN w:val="0"/>
        <w:adjustRightInd w:val="0"/>
        <w:jc w:val="both"/>
        <w:rPr>
          <w:rFonts w:ascii="Source Sans Pro" w:hAnsi="Source Sans Pro"/>
          <w:b/>
          <w:i/>
          <w:iCs/>
          <w:color w:val="ED7D31" w:themeColor="accent2"/>
          <w:sz w:val="20"/>
          <w:szCs w:val="18"/>
        </w:rPr>
      </w:pPr>
      <w:r w:rsidRPr="00661DF9">
        <w:rPr>
          <w:rFonts w:ascii="Source Sans Pro" w:hAnsi="Source Sans Pro"/>
          <w:b/>
          <w:i/>
          <w:iCs/>
          <w:color w:val="ED7D31" w:themeColor="accent2"/>
          <w:sz w:val="20"/>
          <w:szCs w:val="18"/>
        </w:rPr>
        <w:t xml:space="preserve">                                                                  </w:t>
      </w:r>
      <w:r>
        <w:rPr>
          <w:rFonts w:ascii="Source Sans Pro" w:hAnsi="Source Sans Pro"/>
          <w:b/>
          <w:i/>
          <w:iCs/>
          <w:color w:val="ED7D31" w:themeColor="accent2"/>
          <w:sz w:val="20"/>
          <w:szCs w:val="18"/>
        </w:rPr>
        <w:t xml:space="preserve">                                                                                   </w:t>
      </w:r>
      <w:r w:rsidRPr="00661DF9">
        <w:rPr>
          <w:rFonts w:ascii="Source Sans Pro" w:hAnsi="Source Sans Pro"/>
          <w:b/>
          <w:i/>
          <w:iCs/>
          <w:color w:val="ED7D31" w:themeColor="accent2"/>
          <w:sz w:val="20"/>
          <w:szCs w:val="18"/>
        </w:rPr>
        <w:t>Content (Times New Roman front 10)</w:t>
      </w:r>
    </w:p>
    <w:p w14:paraId="5E04E5BD" w14:textId="1FF29F19" w:rsidR="00225D4A" w:rsidRPr="00277ED3" w:rsidRDefault="00E94928" w:rsidP="00E44753">
      <w:pPr>
        <w:rPr>
          <w:color w:val="000000"/>
          <w:sz w:val="20"/>
          <w:szCs w:val="20"/>
        </w:rPr>
      </w:pPr>
      <w:r>
        <w:rPr>
          <w:sz w:val="20"/>
          <w:szCs w:val="20"/>
          <w:shd w:val="clear" w:color="auto" w:fill="FFFFFF"/>
        </w:rPr>
        <w:br/>
      </w:r>
    </w:p>
    <w:p w14:paraId="2CA2D5DC" w14:textId="4B5ADB1D" w:rsidR="00661DF9" w:rsidRDefault="00741ACD" w:rsidP="00E44753">
      <w:pPr>
        <w:pStyle w:val="Body"/>
        <w:spacing w:after="0" w:line="240" w:lineRule="auto"/>
        <w:jc w:val="both"/>
        <w:rPr>
          <w:rFonts w:ascii="Times New Roman" w:hAnsi="Times New Roman" w:cs="Times New Roman"/>
          <w:sz w:val="20"/>
          <w:szCs w:val="20"/>
          <w:highlight w:val="cyan"/>
        </w:rPr>
      </w:pPr>
      <w:r w:rsidRPr="00277ED3">
        <w:rPr>
          <w:rFonts w:ascii="Times New Roman" w:hAnsi="Times New Roman" w:cs="Times New Roman"/>
          <w:b/>
          <w:bCs/>
          <w:szCs w:val="20"/>
        </w:rPr>
        <w:t>KEYWORDS</w:t>
      </w:r>
      <w:r w:rsidR="00CA55D9">
        <w:rPr>
          <w:rFonts w:ascii="Times New Roman" w:hAnsi="Times New Roman" w:cs="Times New Roman"/>
          <w:b/>
          <w:bCs/>
          <w:szCs w:val="20"/>
        </w:rPr>
        <w:t xml:space="preserve"> </w:t>
      </w:r>
      <w:r w:rsidR="00661DF9" w:rsidRPr="00661DF9">
        <w:rPr>
          <w:rFonts w:ascii="Source Sans Pro" w:hAnsi="Source Sans Pro" w:cs="Times New Roman"/>
          <w:b/>
          <w:i/>
          <w:iCs/>
          <w:color w:val="ED7D31" w:themeColor="accent2"/>
          <w:sz w:val="20"/>
          <w:szCs w:val="18"/>
        </w:rPr>
        <w:t>(Times New Roman front 11 Bold Capital)</w:t>
      </w:r>
      <w:r w:rsidR="00225D4A" w:rsidRPr="00277ED3">
        <w:rPr>
          <w:rFonts w:ascii="Times New Roman" w:hAnsi="Times New Roman" w:cs="Times New Roman"/>
          <w:b/>
          <w:bCs/>
          <w:szCs w:val="20"/>
        </w:rPr>
        <w:t xml:space="preserve">: </w:t>
      </w:r>
      <w:r w:rsidR="00E94928" w:rsidRPr="00E94928">
        <w:rPr>
          <w:rFonts w:ascii="Times New Roman" w:hAnsi="Times New Roman" w:cs="Times New Roman"/>
          <w:sz w:val="20"/>
          <w:szCs w:val="20"/>
        </w:rPr>
        <w:t>Nyctanthes arbor-tristis</w:t>
      </w:r>
      <w:r w:rsidR="00E94928">
        <w:rPr>
          <w:rFonts w:ascii="Times New Roman" w:hAnsi="Times New Roman" w:cs="Times New Roman"/>
          <w:sz w:val="20"/>
          <w:szCs w:val="20"/>
        </w:rPr>
        <w:t>,</w:t>
      </w:r>
      <w:r w:rsidR="00E94928" w:rsidRPr="00E94928">
        <w:rPr>
          <w:rFonts w:ascii="Times New Roman" w:hAnsi="Times New Roman" w:cs="Times New Roman"/>
          <w:sz w:val="20"/>
          <w:szCs w:val="20"/>
        </w:rPr>
        <w:t xml:space="preserve"> anticonvulsant activity</w:t>
      </w:r>
      <w:r w:rsidR="00E94928">
        <w:rPr>
          <w:rFonts w:ascii="Times New Roman" w:hAnsi="Times New Roman" w:cs="Times New Roman"/>
          <w:sz w:val="20"/>
          <w:szCs w:val="20"/>
        </w:rPr>
        <w:t xml:space="preserve">, </w:t>
      </w:r>
      <w:r w:rsidR="00E94928" w:rsidRPr="00E94928">
        <w:rPr>
          <w:rFonts w:ascii="Times New Roman" w:hAnsi="Times New Roman" w:cs="Times New Roman"/>
          <w:sz w:val="20"/>
          <w:szCs w:val="20"/>
        </w:rPr>
        <w:t>aqueous extract</w:t>
      </w:r>
      <w:r w:rsidR="00E94928">
        <w:rPr>
          <w:rFonts w:ascii="Times New Roman" w:hAnsi="Times New Roman" w:cs="Times New Roman"/>
          <w:sz w:val="20"/>
          <w:szCs w:val="20"/>
        </w:rPr>
        <w:t>,</w:t>
      </w:r>
      <w:r w:rsidR="00E94928" w:rsidRPr="00E94928">
        <w:rPr>
          <w:rFonts w:ascii="Times New Roman" w:hAnsi="Times New Roman" w:cs="Times New Roman"/>
          <w:sz w:val="20"/>
          <w:szCs w:val="20"/>
        </w:rPr>
        <w:t xml:space="preserve"> Soxhlet extraction</w:t>
      </w:r>
      <w:r w:rsidR="00E94928">
        <w:rPr>
          <w:rFonts w:ascii="Times New Roman" w:hAnsi="Times New Roman" w:cs="Times New Roman"/>
          <w:sz w:val="20"/>
          <w:szCs w:val="20"/>
        </w:rPr>
        <w:t>,</w:t>
      </w:r>
      <w:r w:rsidR="00E94928" w:rsidRPr="00E94928">
        <w:rPr>
          <w:rFonts w:ascii="Times New Roman" w:hAnsi="Times New Roman" w:cs="Times New Roman"/>
          <w:sz w:val="20"/>
          <w:szCs w:val="20"/>
        </w:rPr>
        <w:t xml:space="preserve"> PTZ-induced seizures</w:t>
      </w:r>
      <w:r w:rsidR="00E94928">
        <w:rPr>
          <w:rFonts w:ascii="Times New Roman" w:hAnsi="Times New Roman" w:cs="Times New Roman"/>
          <w:sz w:val="20"/>
          <w:szCs w:val="20"/>
        </w:rPr>
        <w:t>,</w:t>
      </w:r>
      <w:r w:rsidR="00E94928" w:rsidRPr="00E94928">
        <w:rPr>
          <w:rFonts w:ascii="Times New Roman" w:hAnsi="Times New Roman" w:cs="Times New Roman"/>
          <w:sz w:val="20"/>
          <w:szCs w:val="20"/>
        </w:rPr>
        <w:t xml:space="preserve"> MES model.</w:t>
      </w:r>
      <w:r w:rsidR="00E94928" w:rsidRPr="00E94928">
        <w:rPr>
          <w:rFonts w:ascii="Times New Roman" w:hAnsi="Times New Roman" w:cs="Times New Roman"/>
          <w:sz w:val="20"/>
          <w:szCs w:val="20"/>
          <w:highlight w:val="cyan"/>
        </w:rPr>
        <w:t xml:space="preserve"> </w:t>
      </w:r>
    </w:p>
    <w:p w14:paraId="7467AC55" w14:textId="50D309C4" w:rsidR="00225D4A" w:rsidRPr="00661DF9" w:rsidRDefault="00661DF9" w:rsidP="00E44753">
      <w:pPr>
        <w:pStyle w:val="Body"/>
        <w:spacing w:after="0" w:line="240" w:lineRule="auto"/>
        <w:jc w:val="both"/>
        <w:rPr>
          <w:rFonts w:ascii="Source Sans Pro" w:hAnsi="Source Sans Pro" w:cs="Times New Roman"/>
          <w:b/>
          <w:i/>
          <w:iCs/>
          <w:color w:val="ED7D31" w:themeColor="accent2"/>
          <w:sz w:val="18"/>
          <w:szCs w:val="18"/>
        </w:rPr>
      </w:pPr>
      <w:r w:rsidRPr="00661DF9">
        <w:rPr>
          <w:rFonts w:ascii="Source Sans Pro" w:hAnsi="Source Sans Pro" w:cs="Times New Roman"/>
          <w:b/>
          <w:i/>
          <w:iCs/>
          <w:color w:val="ED7D31" w:themeColor="accent2"/>
          <w:sz w:val="20"/>
          <w:szCs w:val="18"/>
        </w:rPr>
        <w:t xml:space="preserve">                                                                                                                 </w:t>
      </w:r>
      <w:r w:rsidR="00741ACD" w:rsidRPr="00661DF9">
        <w:rPr>
          <w:rFonts w:ascii="Times New Roman" w:hAnsi="Times New Roman" w:cs="Times New Roman"/>
          <w:b/>
          <w:bCs/>
          <w:i/>
          <w:iCs/>
          <w:sz w:val="20"/>
          <w:szCs w:val="20"/>
        </w:rPr>
        <w:t xml:space="preserve"> </w:t>
      </w:r>
      <w:r w:rsidR="00741ACD" w:rsidRPr="00661DF9">
        <w:rPr>
          <w:rFonts w:ascii="Source Sans Pro" w:hAnsi="Source Sans Pro" w:cs="Times New Roman"/>
          <w:b/>
          <w:bCs/>
          <w:i/>
          <w:iCs/>
          <w:color w:val="ED7D31" w:themeColor="accent2"/>
          <w:sz w:val="20"/>
          <w:szCs w:val="18"/>
        </w:rPr>
        <w:t xml:space="preserve">(Times New Roman front 10 </w:t>
      </w:r>
      <w:r w:rsidR="00CA55D9">
        <w:rPr>
          <w:rFonts w:ascii="Source Sans Pro" w:hAnsi="Source Sans Pro" w:cs="Times New Roman"/>
          <w:b/>
          <w:bCs/>
          <w:i/>
          <w:iCs/>
          <w:color w:val="ED7D31" w:themeColor="accent2"/>
          <w:sz w:val="20"/>
          <w:szCs w:val="18"/>
        </w:rPr>
        <w:t xml:space="preserve">and </w:t>
      </w:r>
      <w:r w:rsidR="00741ACD" w:rsidRPr="00661DF9">
        <w:rPr>
          <w:rFonts w:ascii="Source Sans Pro" w:hAnsi="Source Sans Pro" w:cs="Times New Roman"/>
          <w:b/>
          <w:bCs/>
          <w:i/>
          <w:iCs/>
          <w:color w:val="ED7D31" w:themeColor="accent2"/>
          <w:sz w:val="20"/>
          <w:szCs w:val="18"/>
        </w:rPr>
        <w:t xml:space="preserve">at least </w:t>
      </w:r>
      <w:r w:rsidR="00CA55D9">
        <w:rPr>
          <w:rFonts w:ascii="Source Sans Pro" w:hAnsi="Source Sans Pro" w:cs="Times New Roman"/>
          <w:b/>
          <w:bCs/>
          <w:i/>
          <w:iCs/>
          <w:color w:val="ED7D31" w:themeColor="accent2"/>
          <w:sz w:val="20"/>
          <w:szCs w:val="18"/>
        </w:rPr>
        <w:t>3</w:t>
      </w:r>
      <w:r w:rsidR="00741ACD" w:rsidRPr="00661DF9">
        <w:rPr>
          <w:rFonts w:ascii="Source Sans Pro" w:hAnsi="Source Sans Pro" w:cs="Times New Roman"/>
          <w:b/>
          <w:bCs/>
          <w:i/>
          <w:iCs/>
          <w:color w:val="ED7D31" w:themeColor="accent2"/>
          <w:sz w:val="20"/>
          <w:szCs w:val="18"/>
        </w:rPr>
        <w:t xml:space="preserve"> key words)</w:t>
      </w:r>
      <w:r w:rsidR="00741ACD" w:rsidRPr="00661DF9">
        <w:rPr>
          <w:rFonts w:ascii="Source Sans Pro" w:hAnsi="Source Sans Pro" w:cs="Times New Roman"/>
          <w:b/>
          <w:bCs/>
          <w:i/>
          <w:iCs/>
          <w:color w:val="ED7D31" w:themeColor="accent2"/>
          <w:sz w:val="24"/>
          <w:szCs w:val="18"/>
        </w:rPr>
        <w:t xml:space="preserve"> </w:t>
      </w:r>
      <w:r w:rsidR="00741ACD" w:rsidRPr="00661DF9">
        <w:rPr>
          <w:rFonts w:ascii="Source Sans Pro" w:hAnsi="Source Sans Pro" w:cs="Times New Roman"/>
          <w:b/>
          <w:bCs/>
          <w:i/>
          <w:iCs/>
          <w:color w:val="ED7D31" w:themeColor="accent2"/>
          <w:sz w:val="18"/>
          <w:szCs w:val="18"/>
        </w:rPr>
        <w:t xml:space="preserve"> </w:t>
      </w:r>
    </w:p>
    <w:p w14:paraId="484B35A2" w14:textId="77777777" w:rsidR="00225D4A" w:rsidRPr="00E44753" w:rsidRDefault="00225D4A" w:rsidP="00E44753">
      <w:pPr>
        <w:pStyle w:val="Body"/>
        <w:spacing w:after="0" w:line="240" w:lineRule="auto"/>
        <w:jc w:val="both"/>
        <w:rPr>
          <w:rFonts w:ascii="Times New Roman" w:eastAsia="Times New Roman" w:hAnsi="Times New Roman" w:cs="Times New Roman"/>
          <w:color w:val="FF0000"/>
          <w:sz w:val="20"/>
          <w:szCs w:val="20"/>
        </w:rPr>
      </w:pPr>
    </w:p>
    <w:p w14:paraId="08557254" w14:textId="77777777" w:rsidR="00C15E10" w:rsidRPr="00277ED3" w:rsidRDefault="00225D4A" w:rsidP="00E44753">
      <w:pPr>
        <w:pStyle w:val="Body"/>
        <w:spacing w:after="0" w:line="240" w:lineRule="auto"/>
        <w:jc w:val="both"/>
        <w:rPr>
          <w:rFonts w:ascii="Times New Roman" w:hAnsi="Times New Roman" w:cs="Times New Roman"/>
          <w:b/>
          <w:bCs/>
          <w:szCs w:val="20"/>
          <w:lang w:val="fr-FR"/>
        </w:rPr>
      </w:pPr>
      <w:r w:rsidRPr="00277ED3">
        <w:rPr>
          <w:rFonts w:ascii="Times New Roman" w:hAnsi="Times New Roman" w:cs="Times New Roman"/>
          <w:b/>
          <w:bCs/>
          <w:sz w:val="20"/>
          <w:szCs w:val="20"/>
          <w:lang w:val="fr-FR"/>
        </w:rPr>
        <w:br w:type="page"/>
      </w:r>
    </w:p>
    <w:p w14:paraId="510FB843" w14:textId="01483D0D" w:rsidR="00741ACD" w:rsidRPr="00E44753" w:rsidRDefault="00741ACD" w:rsidP="00E44753">
      <w:pPr>
        <w:widowControl w:val="0"/>
        <w:tabs>
          <w:tab w:val="left" w:pos="284"/>
        </w:tabs>
        <w:autoSpaceDE w:val="0"/>
        <w:autoSpaceDN w:val="0"/>
        <w:adjustRightInd w:val="0"/>
        <w:jc w:val="both"/>
        <w:rPr>
          <w:bCs/>
          <w:sz w:val="22"/>
          <w:szCs w:val="20"/>
          <w:highlight w:val="cyan"/>
          <w:lang w:val="en-US" w:eastAsia="en-US"/>
        </w:rPr>
      </w:pPr>
      <w:r w:rsidRPr="00277ED3">
        <w:rPr>
          <w:b/>
          <w:bCs/>
          <w:color w:val="000000"/>
          <w:sz w:val="22"/>
          <w:szCs w:val="18"/>
          <w:lang w:val="fr-FR"/>
        </w:rPr>
        <w:lastRenderedPageBreak/>
        <w:t>INTRODUCTION</w:t>
      </w:r>
      <w:r w:rsidR="00CA55D9">
        <w:rPr>
          <w:b/>
          <w:bCs/>
          <w:color w:val="000000"/>
          <w:sz w:val="22"/>
          <w:szCs w:val="18"/>
          <w:lang w:val="fr-FR"/>
        </w:rPr>
        <w:t xml:space="preserve"> </w:t>
      </w:r>
      <w:r w:rsidR="00661DF9" w:rsidRPr="00661DF9">
        <w:rPr>
          <w:rFonts w:ascii="Source Sans Pro" w:hAnsi="Source Sans Pro"/>
          <w:b/>
          <w:i/>
          <w:iCs/>
          <w:color w:val="ED7D31" w:themeColor="accent2"/>
          <w:sz w:val="20"/>
          <w:szCs w:val="18"/>
        </w:rPr>
        <w:t>(Times New Roman front 11 Bold Capital)</w:t>
      </w:r>
      <w:r w:rsidRPr="00661DF9">
        <w:rPr>
          <w:b/>
          <w:bCs/>
          <w:color w:val="ED7D31" w:themeColor="accent2"/>
          <w:sz w:val="20"/>
          <w:szCs w:val="16"/>
          <w:lang w:val="fr-FR"/>
        </w:rPr>
        <w:t> </w:t>
      </w:r>
      <w:r w:rsidRPr="00277ED3">
        <w:rPr>
          <w:b/>
          <w:bCs/>
          <w:color w:val="000000"/>
          <w:sz w:val="22"/>
          <w:szCs w:val="18"/>
          <w:lang w:val="fr-FR"/>
        </w:rPr>
        <w:t>:</w:t>
      </w:r>
      <w:r w:rsidRPr="00277ED3">
        <w:rPr>
          <w:b/>
          <w:bCs/>
          <w:color w:val="000000"/>
          <w:szCs w:val="20"/>
          <w:lang w:val="fr-FR"/>
        </w:rPr>
        <w:t xml:space="preserve">  </w:t>
      </w:r>
    </w:p>
    <w:p w14:paraId="631CC192" w14:textId="77777777" w:rsidR="00225D4A" w:rsidRPr="00277ED3" w:rsidRDefault="00225D4A" w:rsidP="00E44753">
      <w:pPr>
        <w:pStyle w:val="Body"/>
        <w:spacing w:after="0" w:line="240" w:lineRule="auto"/>
        <w:jc w:val="both"/>
        <w:rPr>
          <w:rFonts w:ascii="Times New Roman" w:eastAsia="Times New Roman" w:hAnsi="Times New Roman" w:cs="Times New Roman"/>
          <w:b/>
          <w:bCs/>
          <w:szCs w:val="20"/>
        </w:rPr>
      </w:pPr>
    </w:p>
    <w:p w14:paraId="0D3A9957" w14:textId="32AA57D2" w:rsidR="00661DF9" w:rsidRPr="00E44753" w:rsidRDefault="00E94928" w:rsidP="00661DF9">
      <w:pPr>
        <w:jc w:val="both"/>
        <w:rPr>
          <w:sz w:val="20"/>
          <w:szCs w:val="20"/>
          <w:lang w:val="en-US" w:eastAsia="en-US"/>
        </w:rPr>
      </w:pPr>
      <w:r w:rsidRPr="00E94928">
        <w:rPr>
          <w:sz w:val="20"/>
          <w:szCs w:val="20"/>
        </w:rPr>
        <w:t xml:space="preserve">Pulmonary drug delivery has gained substantial attention in recent years because it enables direct transportation of therapeutic agents to the lungs for both local and systemic treatment. This route offers several advantages, including rapid onset of action, improved therapeutic efficacy, and reduced systemic side effects. It also minimizes drug–drug interactions when multiple medications are administered concurrently, as the drug primarily acts within the respiratory </w:t>
      </w:r>
      <w:r w:rsidRPr="00661DF9">
        <w:t>tract</w:t>
      </w:r>
      <w:r w:rsidRPr="00661DF9">
        <w:rPr>
          <w:vertAlign w:val="superscript"/>
        </w:rPr>
        <w:t>1</w:t>
      </w:r>
      <w:r w:rsidRPr="00E94928">
        <w:rPr>
          <w:sz w:val="20"/>
          <w:szCs w:val="20"/>
        </w:rPr>
        <w:t>.</w:t>
      </w:r>
      <w:r w:rsidR="00CA55D9">
        <w:rPr>
          <w:sz w:val="20"/>
          <w:szCs w:val="20"/>
        </w:rPr>
        <w:t xml:space="preserve"> </w:t>
      </w:r>
      <w:proofErr w:type="gramStart"/>
      <w:r w:rsidR="00661DF9" w:rsidRPr="00661DF9">
        <w:rPr>
          <w:rFonts w:ascii="Source Sans Pro" w:hAnsi="Source Sans Pro"/>
          <w:b/>
          <w:i/>
          <w:iCs/>
          <w:color w:val="ED7D31" w:themeColor="accent2"/>
          <w:sz w:val="20"/>
          <w:szCs w:val="20"/>
        </w:rPr>
        <w:t>(</w:t>
      </w:r>
      <w:proofErr w:type="gramEnd"/>
      <w:r w:rsidR="00661DF9" w:rsidRPr="00661DF9">
        <w:rPr>
          <w:rFonts w:ascii="Source Sans Pro" w:hAnsi="Source Sans Pro"/>
          <w:b/>
          <w:i/>
          <w:iCs/>
          <w:color w:val="ED7D31" w:themeColor="accent2"/>
          <w:sz w:val="20"/>
          <w:szCs w:val="20"/>
        </w:rPr>
        <w:t>citation in text</w:t>
      </w:r>
      <w:r w:rsidR="00661DF9">
        <w:rPr>
          <w:rFonts w:ascii="Source Sans Pro" w:hAnsi="Source Sans Pro"/>
          <w:b/>
          <w:i/>
          <w:iCs/>
          <w:color w:val="ED7D31" w:themeColor="accent2"/>
          <w:sz w:val="20"/>
          <w:szCs w:val="20"/>
        </w:rPr>
        <w:t>-</w:t>
      </w:r>
      <w:r w:rsidR="00661DF9" w:rsidRPr="00661DF9">
        <w:rPr>
          <w:rFonts w:ascii="Source Sans Pro" w:hAnsi="Source Sans Pro"/>
          <w:b/>
          <w:i/>
          <w:iCs/>
          <w:color w:val="ED7D31" w:themeColor="accent2"/>
          <w:sz w:val="20"/>
          <w:szCs w:val="20"/>
        </w:rPr>
        <w:t xml:space="preserve"> </w:t>
      </w:r>
      <w:r w:rsidR="00661DF9">
        <w:rPr>
          <w:rFonts w:ascii="Source Sans Pro" w:hAnsi="Source Sans Pro"/>
          <w:b/>
          <w:i/>
          <w:iCs/>
          <w:color w:val="ED7D31" w:themeColor="accent2"/>
          <w:sz w:val="20"/>
          <w:szCs w:val="20"/>
        </w:rPr>
        <w:t>example</w:t>
      </w:r>
      <w:r w:rsidR="00661DF9" w:rsidRPr="00661DF9">
        <w:rPr>
          <w:rFonts w:ascii="Source Sans Pro" w:hAnsi="Source Sans Pro"/>
          <w:b/>
          <w:i/>
          <w:iCs/>
          <w:color w:val="ED7D31" w:themeColor="accent2"/>
          <w:sz w:val="20"/>
          <w:szCs w:val="20"/>
        </w:rPr>
        <w:t>)</w:t>
      </w:r>
    </w:p>
    <w:p w14:paraId="35DFCE73" w14:textId="77777777" w:rsidR="00661DF9" w:rsidRDefault="00E94928" w:rsidP="00E44753">
      <w:pPr>
        <w:jc w:val="both"/>
        <w:rPr>
          <w:sz w:val="20"/>
          <w:szCs w:val="20"/>
        </w:rPr>
      </w:pPr>
      <w:r w:rsidRPr="00E94928">
        <w:rPr>
          <w:sz w:val="20"/>
          <w:szCs w:val="20"/>
        </w:rPr>
        <w:t xml:space="preserve"> Due to the limitations associated with conventional therapies for chronic diseases, there is a growing interest in designing targeted drug delivery systems. Traditional dosage forms often require frequent administration, which may lead to systemic toxicity. In contrast, controlled-release carrier systems provide a promising alternative by reducing dosing frequency, enhancing drug bioavailability, and improving overall patient</w:t>
      </w:r>
      <w:r w:rsidR="00661DF9">
        <w:rPr>
          <w:sz w:val="20"/>
          <w:szCs w:val="20"/>
        </w:rPr>
        <w:t xml:space="preserve"> </w:t>
      </w:r>
      <w:r w:rsidR="00974084" w:rsidRPr="00661DF9">
        <w:rPr>
          <w:sz w:val="20"/>
          <w:szCs w:val="20"/>
        </w:rPr>
        <w:t>consistence</w:t>
      </w:r>
      <w:r w:rsidR="00670E96" w:rsidRPr="00661DF9">
        <w:rPr>
          <w:sz w:val="20"/>
          <w:szCs w:val="20"/>
          <w:vertAlign w:val="superscript"/>
        </w:rPr>
        <w:t>2</w:t>
      </w:r>
      <w:r w:rsidR="00661DF9" w:rsidRPr="00661DF9">
        <w:rPr>
          <w:sz w:val="20"/>
          <w:szCs w:val="20"/>
        </w:rPr>
        <w:t>.</w:t>
      </w:r>
    </w:p>
    <w:p w14:paraId="613AF912" w14:textId="6298E501" w:rsidR="00741ACD" w:rsidRPr="00E44753" w:rsidRDefault="00661DF9" w:rsidP="00E44753">
      <w:pPr>
        <w:jc w:val="both"/>
        <w:rPr>
          <w:sz w:val="20"/>
          <w:szCs w:val="20"/>
          <w:lang w:val="en-US" w:eastAsia="en-US"/>
        </w:rPr>
      </w:pPr>
      <w:r>
        <w:rPr>
          <w:sz w:val="20"/>
          <w:szCs w:val="20"/>
        </w:rPr>
        <w:t xml:space="preserve">                                                                                                                   </w:t>
      </w:r>
      <w:r w:rsidRPr="00661DF9">
        <w:rPr>
          <w:rFonts w:ascii="Source Sans Pro" w:hAnsi="Source Sans Pro"/>
          <w:b/>
          <w:i/>
          <w:iCs/>
          <w:color w:val="ED7D31" w:themeColor="accent2"/>
          <w:sz w:val="20"/>
          <w:szCs w:val="20"/>
        </w:rPr>
        <w:t xml:space="preserve"> </w:t>
      </w:r>
      <w:r w:rsidRPr="00661DF9">
        <w:rPr>
          <w:rFonts w:ascii="Source Sans Pro" w:hAnsi="Source Sans Pro"/>
          <w:b/>
          <w:i/>
          <w:iCs/>
          <w:color w:val="ED7D31" w:themeColor="accent2"/>
          <w:sz w:val="20"/>
          <w:szCs w:val="18"/>
        </w:rPr>
        <w:t>Content (Times New Roman front 10)</w:t>
      </w:r>
    </w:p>
    <w:p w14:paraId="2E720B1F" w14:textId="77777777" w:rsidR="00225D4A" w:rsidRPr="00E44753" w:rsidRDefault="00225D4A" w:rsidP="00E44753">
      <w:pPr>
        <w:jc w:val="both"/>
        <w:rPr>
          <w:sz w:val="20"/>
          <w:szCs w:val="20"/>
        </w:rPr>
      </w:pPr>
    </w:p>
    <w:p w14:paraId="647D04D1" w14:textId="1281DA00" w:rsidR="00741ACD" w:rsidRDefault="00E94928" w:rsidP="00E44753">
      <w:pPr>
        <w:jc w:val="both"/>
        <w:rPr>
          <w:sz w:val="20"/>
          <w:szCs w:val="20"/>
        </w:rPr>
      </w:pPr>
      <w:r w:rsidRPr="00E94928">
        <w:rPr>
          <w:sz w:val="20"/>
          <w:szCs w:val="20"/>
        </w:rPr>
        <w:t>Dry powder inhalers (DPIs) are inhalation systems that deliver powdered medications directly to the lungs for local or systemic therapeutic action</w:t>
      </w:r>
      <w:r w:rsidRPr="00E94928">
        <w:rPr>
          <w:sz w:val="20"/>
          <w:szCs w:val="20"/>
          <w:vertAlign w:val="superscript"/>
        </w:rPr>
        <w:t>3</w:t>
      </w:r>
      <w:r w:rsidRPr="00E94928">
        <w:rPr>
          <w:sz w:val="20"/>
          <w:szCs w:val="20"/>
        </w:rPr>
        <w:t>. They offer notable advantages, including direct pulmonary deposition using the patient’s inhalation effort, rapid onset, and reduced systemic side effects, making them valuable for chronic respiratory and systemic conditions. Carbon nanotubes (CNTs), available as single-walled or multi-walled structures, have emerged as promising carriers in advanced drug-delivery research</w:t>
      </w:r>
      <w:r w:rsidRPr="00E94928">
        <w:rPr>
          <w:sz w:val="20"/>
          <w:szCs w:val="20"/>
          <w:vertAlign w:val="superscript"/>
        </w:rPr>
        <w:t>4</w:t>
      </w:r>
      <w:r w:rsidRPr="00E94928">
        <w:rPr>
          <w:sz w:val="20"/>
          <w:szCs w:val="20"/>
        </w:rPr>
        <w:t>. Functionalization of multi-walled CNTs involves attaching organic groups to their tubular surfaces, improving their solubility, dispersibility, and biocompatibility. This modification also enhances their capacity to encapsulate or bind drug molecules, enabling controlled and targeted delivery. Several studies suggest that functionalized CNTs can efficiently penetrate cells and even reach the nucleus, supporting highly targeted therapeutic action</w:t>
      </w:r>
      <w:r w:rsidRPr="00E94928">
        <w:rPr>
          <w:sz w:val="20"/>
          <w:szCs w:val="20"/>
          <w:vertAlign w:val="superscript"/>
        </w:rPr>
        <w:t>5-7</w:t>
      </w:r>
      <w:r w:rsidRPr="00E94928">
        <w:rPr>
          <w:sz w:val="20"/>
          <w:szCs w:val="20"/>
        </w:rPr>
        <w:t>. Hence, the combination of pulmonary delivery systems and functionalized CNTs represents a promising approach for achieving efficient and precise drug delivery.</w:t>
      </w:r>
    </w:p>
    <w:p w14:paraId="26766D33" w14:textId="77777777" w:rsidR="00E94928" w:rsidRPr="00E44753" w:rsidRDefault="00E94928" w:rsidP="00E44753">
      <w:pPr>
        <w:jc w:val="both"/>
        <w:rPr>
          <w:sz w:val="20"/>
          <w:szCs w:val="20"/>
        </w:rPr>
      </w:pPr>
    </w:p>
    <w:p w14:paraId="2B2EC4DB" w14:textId="77777777" w:rsidR="00225D4A" w:rsidRDefault="00225D4A" w:rsidP="00E44753">
      <w:pPr>
        <w:jc w:val="both"/>
        <w:rPr>
          <w:sz w:val="20"/>
          <w:szCs w:val="20"/>
        </w:rPr>
      </w:pPr>
      <w:r w:rsidRPr="00E44753">
        <w:rPr>
          <w:sz w:val="20"/>
          <w:szCs w:val="20"/>
        </w:rPr>
        <w:t>As the above interesting properties of FMWCNTs may be a superior DPI carrier system. Cystic fibrosis (CF) is a genetic disorde</w:t>
      </w:r>
      <w:r w:rsidR="00CB2A27" w:rsidRPr="00E44753">
        <w:rPr>
          <w:sz w:val="20"/>
          <w:szCs w:val="20"/>
        </w:rPr>
        <w:t>r that affects mostly the lungs</w:t>
      </w:r>
      <w:r w:rsidRPr="00E44753">
        <w:rPr>
          <w:sz w:val="20"/>
          <w:szCs w:val="20"/>
          <w:vertAlign w:val="superscript"/>
        </w:rPr>
        <w:t>8</w:t>
      </w:r>
      <w:r w:rsidR="00C658E0" w:rsidRPr="00E44753">
        <w:rPr>
          <w:sz w:val="20"/>
          <w:szCs w:val="20"/>
          <w:vertAlign w:val="superscript"/>
        </w:rPr>
        <w:t>, 9</w:t>
      </w:r>
      <w:r w:rsidRPr="00E44753">
        <w:rPr>
          <w:sz w:val="20"/>
          <w:szCs w:val="20"/>
        </w:rPr>
        <w:t xml:space="preserve">. </w:t>
      </w:r>
    </w:p>
    <w:p w14:paraId="60C0A220" w14:textId="77777777" w:rsidR="00E94928" w:rsidRPr="00E44753" w:rsidRDefault="00E94928" w:rsidP="00E44753">
      <w:pPr>
        <w:jc w:val="both"/>
        <w:rPr>
          <w:sz w:val="20"/>
          <w:szCs w:val="20"/>
        </w:rPr>
      </w:pPr>
    </w:p>
    <w:p w14:paraId="027A065A" w14:textId="1913BBCC" w:rsidR="00E94928" w:rsidRPr="00E94928" w:rsidRDefault="00E94928" w:rsidP="00E94928">
      <w:pPr>
        <w:jc w:val="both"/>
        <w:rPr>
          <w:sz w:val="20"/>
          <w:szCs w:val="20"/>
        </w:rPr>
      </w:pPr>
      <w:r w:rsidRPr="00E94928">
        <w:rPr>
          <w:sz w:val="20"/>
          <w:szCs w:val="20"/>
        </w:rPr>
        <w:t xml:space="preserve">Lung infections are commonly treated with antibiotics administered orally, intravenously, or through inhalation. Patients with cystic fibrosis often develop early and persistent bacterial colonization in the lungs. Diseases such as influenza, pneumonia, and other lower respiratory tract infections are especially prevalent and more severe among socioeconomically disadvantaged populations. Cephalosporins act by inhibiting bacterial cell-wall synthesis, while natural lung </w:t>
      </w:r>
      <w:r w:rsidR="00CA55D9" w:rsidRPr="00E94928">
        <w:rPr>
          <w:sz w:val="20"/>
          <w:szCs w:val="20"/>
        </w:rPr>
        <w:t>defences</w:t>
      </w:r>
      <w:r w:rsidR="00CA55D9">
        <w:rPr>
          <w:sz w:val="20"/>
          <w:szCs w:val="20"/>
        </w:rPr>
        <w:t xml:space="preserve"> </w:t>
      </w:r>
      <w:r w:rsidRPr="00E94928">
        <w:rPr>
          <w:sz w:val="20"/>
          <w:szCs w:val="20"/>
        </w:rPr>
        <w:t>mucociliary clearance, neutrophil phagocytosis, and production of antimicrobial peptides—become less effective when mucus viscosity and osmolarity increase, leading to chronic infections</w:t>
      </w:r>
      <w:r w:rsidRPr="00E94928">
        <w:rPr>
          <w:sz w:val="20"/>
          <w:szCs w:val="20"/>
          <w:vertAlign w:val="superscript"/>
        </w:rPr>
        <w:t>10-1</w:t>
      </w:r>
      <w:r>
        <w:rPr>
          <w:sz w:val="20"/>
          <w:szCs w:val="20"/>
          <w:vertAlign w:val="superscript"/>
        </w:rPr>
        <w:t>2</w:t>
      </w:r>
      <w:r w:rsidRPr="00E94928">
        <w:rPr>
          <w:sz w:val="20"/>
          <w:szCs w:val="20"/>
        </w:rPr>
        <w:t>.</w:t>
      </w:r>
    </w:p>
    <w:p w14:paraId="1E525CF9" w14:textId="77777777" w:rsidR="00E94928" w:rsidRPr="00E94928" w:rsidRDefault="00E94928" w:rsidP="00E94928">
      <w:pPr>
        <w:jc w:val="both"/>
        <w:rPr>
          <w:sz w:val="20"/>
          <w:szCs w:val="20"/>
        </w:rPr>
      </w:pPr>
    </w:p>
    <w:p w14:paraId="6169D8BB" w14:textId="3974032B" w:rsidR="00277ED3" w:rsidRPr="00277ED3" w:rsidRDefault="00E94928" w:rsidP="00E94928">
      <w:pPr>
        <w:jc w:val="both"/>
        <w:rPr>
          <w:b/>
          <w:bCs/>
          <w:color w:val="000000"/>
          <w:sz w:val="22"/>
          <w:szCs w:val="20"/>
        </w:rPr>
      </w:pPr>
      <w:r w:rsidRPr="00E94928">
        <w:rPr>
          <w:sz w:val="20"/>
          <w:szCs w:val="20"/>
        </w:rPr>
        <w:t>Cefdinir is a broad-spectrum cephalosporin approved for conditions such as community-acquired pneumonia and cystic fibrosis–related lung infections</w:t>
      </w:r>
      <w:r w:rsidRPr="00E94928">
        <w:rPr>
          <w:sz w:val="20"/>
          <w:szCs w:val="20"/>
          <w:vertAlign w:val="superscript"/>
        </w:rPr>
        <w:t>13</w:t>
      </w:r>
      <w:r w:rsidRPr="00E94928">
        <w:rPr>
          <w:sz w:val="20"/>
          <w:szCs w:val="20"/>
        </w:rPr>
        <w:t xml:space="preserve">. Its structural features, including a vinyl group at C-3 and an acetyl moiety at C-7, enhance activity against both gram-positive and gram-negative organisms and improve pharmacokinetics. Although available as tablets, capsules, and suspensions, cefdinir shows low oral bioavailability (16–21%) and requires frequent dosing. Delivering cefdinir via a DPI could improve lung targeting and enhance therapeutic availability. In this study, functionalized MWCNTs were loaded with cefdinir and evaluated for particle size, flow properties, release </w:t>
      </w:r>
      <w:r w:rsidR="00CA55D9" w:rsidRPr="00E94928">
        <w:rPr>
          <w:sz w:val="20"/>
          <w:szCs w:val="20"/>
        </w:rPr>
        <w:t>behaviour</w:t>
      </w:r>
      <w:r w:rsidRPr="00E94928">
        <w:rPr>
          <w:sz w:val="20"/>
          <w:szCs w:val="20"/>
        </w:rPr>
        <w:t>, deposition profile, and acute inhalation toxicity</w:t>
      </w:r>
      <w:r w:rsidR="008A0EC5" w:rsidRPr="008A0EC5">
        <w:rPr>
          <w:sz w:val="20"/>
          <w:szCs w:val="20"/>
          <w:vertAlign w:val="superscript"/>
        </w:rPr>
        <w:t>14,15</w:t>
      </w:r>
      <w:r w:rsidRPr="00E94928">
        <w:rPr>
          <w:sz w:val="20"/>
          <w:szCs w:val="20"/>
        </w:rPr>
        <w:t>.</w:t>
      </w:r>
    </w:p>
    <w:p w14:paraId="34AC71B3" w14:textId="77777777" w:rsidR="00277ED3" w:rsidRPr="00277ED3" w:rsidRDefault="00277ED3" w:rsidP="00E44753">
      <w:pPr>
        <w:jc w:val="both"/>
        <w:rPr>
          <w:b/>
          <w:bCs/>
          <w:color w:val="000000"/>
          <w:sz w:val="22"/>
          <w:szCs w:val="20"/>
        </w:rPr>
      </w:pPr>
    </w:p>
    <w:p w14:paraId="5692ABDB" w14:textId="77777777" w:rsidR="00277ED3" w:rsidRPr="00277ED3" w:rsidRDefault="00277ED3" w:rsidP="00E44753">
      <w:pPr>
        <w:jc w:val="both"/>
        <w:rPr>
          <w:b/>
          <w:bCs/>
          <w:color w:val="000000"/>
          <w:sz w:val="22"/>
          <w:szCs w:val="20"/>
        </w:rPr>
      </w:pPr>
    </w:p>
    <w:p w14:paraId="53D7C381" w14:textId="77777777" w:rsidR="00277ED3" w:rsidRPr="00277ED3" w:rsidRDefault="00277ED3" w:rsidP="00E44753">
      <w:pPr>
        <w:jc w:val="both"/>
        <w:rPr>
          <w:b/>
          <w:bCs/>
          <w:color w:val="000000"/>
          <w:sz w:val="22"/>
          <w:szCs w:val="20"/>
        </w:rPr>
      </w:pPr>
    </w:p>
    <w:p w14:paraId="177408A1" w14:textId="4BB76BFE" w:rsidR="00741ACD" w:rsidRPr="00661DF9" w:rsidRDefault="00741ACD" w:rsidP="00E44753">
      <w:pPr>
        <w:jc w:val="both"/>
        <w:rPr>
          <w:rFonts w:ascii="Source Sans Pro" w:hAnsi="Source Sans Pro"/>
          <w:b/>
          <w:i/>
          <w:iCs/>
          <w:color w:val="ED7D31" w:themeColor="accent2"/>
          <w:sz w:val="20"/>
          <w:szCs w:val="18"/>
          <w:lang w:val="en-US" w:eastAsia="en-US"/>
        </w:rPr>
      </w:pPr>
      <w:r w:rsidRPr="00277ED3">
        <w:rPr>
          <w:b/>
          <w:bCs/>
          <w:color w:val="000000"/>
          <w:sz w:val="22"/>
          <w:szCs w:val="20"/>
        </w:rPr>
        <w:t xml:space="preserve">MATERIALS AND </w:t>
      </w:r>
      <w:r w:rsidR="00CA55D9" w:rsidRPr="00277ED3">
        <w:rPr>
          <w:b/>
          <w:bCs/>
          <w:color w:val="000000"/>
          <w:sz w:val="22"/>
          <w:szCs w:val="20"/>
        </w:rPr>
        <w:t>METHODS</w:t>
      </w:r>
      <w:r w:rsidR="00CA55D9" w:rsidRPr="00661DF9">
        <w:rPr>
          <w:rFonts w:ascii="Source Sans Pro" w:hAnsi="Source Sans Pro"/>
          <w:b/>
          <w:i/>
          <w:iCs/>
          <w:color w:val="ED7D31" w:themeColor="accent2"/>
          <w:sz w:val="20"/>
          <w:szCs w:val="18"/>
        </w:rPr>
        <w:t xml:space="preserve"> (</w:t>
      </w:r>
      <w:r w:rsidR="00661DF9" w:rsidRPr="00661DF9">
        <w:rPr>
          <w:rFonts w:ascii="Source Sans Pro" w:hAnsi="Source Sans Pro"/>
          <w:b/>
          <w:i/>
          <w:iCs/>
          <w:color w:val="ED7D31" w:themeColor="accent2"/>
          <w:sz w:val="20"/>
          <w:szCs w:val="18"/>
        </w:rPr>
        <w:t>Times New Roman front 11 Bold Capital)</w:t>
      </w:r>
      <w:r w:rsidRPr="00277ED3">
        <w:rPr>
          <w:b/>
          <w:bCs/>
          <w:color w:val="000000"/>
          <w:szCs w:val="20"/>
        </w:rPr>
        <w:t xml:space="preserve">: </w:t>
      </w:r>
    </w:p>
    <w:p w14:paraId="597BB704" w14:textId="77777777" w:rsidR="00225D4A" w:rsidRPr="00661DF9" w:rsidRDefault="00225D4A" w:rsidP="00E44753">
      <w:pPr>
        <w:pStyle w:val="Body"/>
        <w:spacing w:after="0" w:line="240" w:lineRule="auto"/>
        <w:jc w:val="both"/>
        <w:rPr>
          <w:rFonts w:ascii="Source Sans Pro" w:hAnsi="Source Sans Pro" w:cs="Times New Roman"/>
          <w:b/>
          <w:i/>
          <w:iCs/>
          <w:color w:val="ED7D31" w:themeColor="accent2"/>
          <w:sz w:val="20"/>
          <w:szCs w:val="18"/>
        </w:rPr>
      </w:pPr>
    </w:p>
    <w:p w14:paraId="7A290CEF" w14:textId="48BBEFD4" w:rsidR="00225D4A" w:rsidRPr="00661DF9" w:rsidRDefault="00CA55D9" w:rsidP="00E44753">
      <w:pPr>
        <w:pStyle w:val="Body"/>
        <w:spacing w:after="0" w:line="240" w:lineRule="auto"/>
        <w:jc w:val="both"/>
        <w:rPr>
          <w:rFonts w:ascii="Source Sans Pro" w:eastAsia="Times New Roman" w:hAnsi="Source Sans Pro" w:cs="Times New Roman"/>
          <w:b/>
          <w:i/>
          <w:iCs/>
          <w:color w:val="ED7D31" w:themeColor="accent2"/>
          <w:sz w:val="20"/>
          <w:szCs w:val="20"/>
        </w:rPr>
      </w:pPr>
      <w:r w:rsidRPr="00277ED3">
        <w:rPr>
          <w:rFonts w:ascii="Times New Roman" w:hAnsi="Times New Roman" w:cs="Times New Roman"/>
          <w:b/>
          <w:bCs/>
          <w:szCs w:val="20"/>
        </w:rPr>
        <w:t>Materials</w:t>
      </w:r>
      <w:r w:rsidRPr="00661DF9">
        <w:rPr>
          <w:rFonts w:ascii="Source Sans Pro" w:hAnsi="Source Sans Pro" w:cs="Times New Roman"/>
          <w:b/>
          <w:i/>
          <w:iCs/>
          <w:color w:val="ED7D31" w:themeColor="accent2"/>
          <w:sz w:val="20"/>
          <w:szCs w:val="20"/>
        </w:rPr>
        <w:t xml:space="preserve"> (</w:t>
      </w:r>
      <w:r w:rsidR="00741ACD" w:rsidRPr="00661DF9">
        <w:rPr>
          <w:rFonts w:ascii="Source Sans Pro" w:hAnsi="Source Sans Pro" w:cs="Times New Roman"/>
          <w:b/>
          <w:i/>
          <w:iCs/>
          <w:color w:val="ED7D31" w:themeColor="accent2"/>
          <w:sz w:val="20"/>
          <w:szCs w:val="20"/>
        </w:rPr>
        <w:t>Times New Roman front 10 Bold)</w:t>
      </w:r>
    </w:p>
    <w:p w14:paraId="13E23007" w14:textId="77777777" w:rsidR="00741ACD" w:rsidRPr="00E44753" w:rsidRDefault="00741ACD" w:rsidP="00E44753">
      <w:pPr>
        <w:jc w:val="both"/>
        <w:rPr>
          <w:sz w:val="20"/>
          <w:szCs w:val="20"/>
        </w:rPr>
      </w:pPr>
    </w:p>
    <w:p w14:paraId="6759321D" w14:textId="3407FD9A" w:rsidR="00225D4A" w:rsidRPr="00E44753" w:rsidRDefault="008A0EC5" w:rsidP="00E44753">
      <w:pPr>
        <w:jc w:val="both"/>
        <w:rPr>
          <w:sz w:val="20"/>
          <w:szCs w:val="20"/>
        </w:rPr>
      </w:pPr>
      <w:r w:rsidRPr="008A0EC5">
        <w:rPr>
          <w:sz w:val="20"/>
          <w:szCs w:val="20"/>
        </w:rPr>
        <w:t xml:space="preserve">Multiwalled carbon nanotubes were procured from Applied </w:t>
      </w:r>
      <w:r>
        <w:rPr>
          <w:sz w:val="20"/>
          <w:szCs w:val="20"/>
        </w:rPr>
        <w:t>Industries</w:t>
      </w:r>
      <w:r w:rsidRPr="008A0EC5">
        <w:rPr>
          <w:sz w:val="20"/>
          <w:szCs w:val="20"/>
        </w:rPr>
        <w:t xml:space="preserve"> </w:t>
      </w:r>
      <w:proofErr w:type="spellStart"/>
      <w:r w:rsidRPr="008A0EC5">
        <w:rPr>
          <w:sz w:val="20"/>
          <w:szCs w:val="20"/>
        </w:rPr>
        <w:t>Pvt.</w:t>
      </w:r>
      <w:proofErr w:type="spellEnd"/>
      <w:r w:rsidRPr="008A0EC5">
        <w:rPr>
          <w:sz w:val="20"/>
          <w:szCs w:val="20"/>
        </w:rPr>
        <w:t xml:space="preserve"> Ltd., India. Cefdinir was obtained as a gift sample from </w:t>
      </w:r>
      <w:proofErr w:type="spellStart"/>
      <w:r>
        <w:rPr>
          <w:sz w:val="20"/>
          <w:szCs w:val="20"/>
        </w:rPr>
        <w:t>Hamboldt</w:t>
      </w:r>
      <w:proofErr w:type="spellEnd"/>
      <w:r w:rsidRPr="008A0EC5">
        <w:rPr>
          <w:sz w:val="20"/>
          <w:szCs w:val="20"/>
        </w:rPr>
        <w:t xml:space="preserve"> Laboratories </w:t>
      </w:r>
      <w:proofErr w:type="spellStart"/>
      <w:r w:rsidRPr="008A0EC5">
        <w:rPr>
          <w:sz w:val="20"/>
          <w:szCs w:val="20"/>
        </w:rPr>
        <w:t>Pvt.</w:t>
      </w:r>
      <w:proofErr w:type="spellEnd"/>
      <w:r w:rsidRPr="008A0EC5">
        <w:rPr>
          <w:sz w:val="20"/>
          <w:szCs w:val="20"/>
        </w:rPr>
        <w:t xml:space="preserve"> Ltd., </w:t>
      </w:r>
      <w:r>
        <w:rPr>
          <w:sz w:val="20"/>
          <w:szCs w:val="20"/>
        </w:rPr>
        <w:t>Bangalore</w:t>
      </w:r>
      <w:r w:rsidRPr="008A0EC5">
        <w:rPr>
          <w:sz w:val="20"/>
          <w:szCs w:val="20"/>
        </w:rPr>
        <w:t xml:space="preserve">, India. All reagents and chemicals were analytical grade and sourced from local </w:t>
      </w:r>
      <w:r w:rsidR="00CA55D9" w:rsidRPr="008A0EC5">
        <w:rPr>
          <w:sz w:val="20"/>
          <w:szCs w:val="20"/>
        </w:rPr>
        <w:t>suppliers</w:t>
      </w:r>
      <w:r w:rsidR="00CA55D9" w:rsidRPr="00E44753">
        <w:rPr>
          <w:sz w:val="20"/>
          <w:szCs w:val="20"/>
        </w:rPr>
        <w:t>.</w:t>
      </w:r>
      <w:r w:rsidR="00CA55D9" w:rsidRPr="00661DF9">
        <w:rPr>
          <w:rFonts w:ascii="Source Sans Pro" w:hAnsi="Source Sans Pro"/>
          <w:b/>
          <w:i/>
          <w:iCs/>
          <w:color w:val="ED7D31" w:themeColor="accent2"/>
          <w:sz w:val="20"/>
          <w:szCs w:val="18"/>
        </w:rPr>
        <w:t xml:space="preserve"> Content</w:t>
      </w:r>
      <w:r w:rsidR="00741ACD" w:rsidRPr="00661DF9">
        <w:rPr>
          <w:rFonts w:ascii="Source Sans Pro" w:hAnsi="Source Sans Pro"/>
          <w:b/>
          <w:i/>
          <w:iCs/>
          <w:color w:val="ED7D31" w:themeColor="accent2"/>
          <w:sz w:val="20"/>
          <w:szCs w:val="18"/>
        </w:rPr>
        <w:t xml:space="preserve"> (Times New Roman front 10)</w:t>
      </w:r>
    </w:p>
    <w:p w14:paraId="63E47DDE" w14:textId="77777777" w:rsidR="00741ACD" w:rsidRPr="00E44753" w:rsidRDefault="00741ACD" w:rsidP="00E44753">
      <w:pPr>
        <w:pStyle w:val="Body"/>
        <w:spacing w:after="0" w:line="240" w:lineRule="auto"/>
        <w:jc w:val="both"/>
        <w:rPr>
          <w:rFonts w:ascii="Times New Roman" w:hAnsi="Times New Roman" w:cs="Times New Roman"/>
          <w:b/>
          <w:bCs/>
          <w:color w:val="auto"/>
          <w:szCs w:val="20"/>
        </w:rPr>
      </w:pPr>
    </w:p>
    <w:p w14:paraId="4FBD86BD" w14:textId="77777777" w:rsidR="00225D4A" w:rsidRPr="00E44753" w:rsidRDefault="00225D4A" w:rsidP="00E44753">
      <w:pPr>
        <w:pStyle w:val="Body"/>
        <w:spacing w:after="0" w:line="240" w:lineRule="auto"/>
        <w:jc w:val="both"/>
        <w:rPr>
          <w:rFonts w:ascii="Times New Roman" w:hAnsi="Times New Roman" w:cs="Times New Roman"/>
          <w:b/>
          <w:bCs/>
          <w:color w:val="auto"/>
          <w:sz w:val="20"/>
          <w:szCs w:val="20"/>
        </w:rPr>
      </w:pPr>
      <w:r w:rsidRPr="00E44753">
        <w:rPr>
          <w:rFonts w:ascii="Times New Roman" w:hAnsi="Times New Roman" w:cs="Times New Roman"/>
          <w:b/>
          <w:bCs/>
          <w:color w:val="auto"/>
          <w:sz w:val="20"/>
          <w:szCs w:val="20"/>
        </w:rPr>
        <w:t xml:space="preserve">Methods of </w:t>
      </w:r>
      <w:r w:rsidRPr="00E44753">
        <w:rPr>
          <w:rFonts w:ascii="Times New Roman" w:hAnsi="Times New Roman" w:cs="Times New Roman"/>
          <w:b/>
          <w:color w:val="auto"/>
          <w:sz w:val="20"/>
          <w:szCs w:val="20"/>
        </w:rPr>
        <w:t>Functionalization of MWCNTs:</w:t>
      </w:r>
    </w:p>
    <w:p w14:paraId="294F2763" w14:textId="77777777" w:rsidR="008A0EC5" w:rsidRPr="008A0EC5" w:rsidRDefault="008A0EC5" w:rsidP="008A0EC5">
      <w:pPr>
        <w:jc w:val="both"/>
        <w:rPr>
          <w:sz w:val="20"/>
          <w:szCs w:val="20"/>
        </w:rPr>
      </w:pPr>
      <w:r w:rsidRPr="008A0EC5">
        <w:rPr>
          <w:sz w:val="20"/>
          <w:szCs w:val="20"/>
        </w:rPr>
        <w:t xml:space="preserve">MWCNTs were functionalized through an initial basic oxidation step followed by hydrochloric-acid treatment to obtain covalently functionalized MWCNTs (FMWCNTs). In the first step, oxidation was achieved using hydrogen peroxide and ammonium hydroxide. Briefly, 500 mg of MWCNTs was dispersed in 25 mL of a 1:1 mixture of 25% ammonium hydroxide and 30% hydrogen peroxide in a 100 mL round-bottom flask equipped with a </w:t>
      </w:r>
      <w:r w:rsidRPr="008A0EC5">
        <w:rPr>
          <w:sz w:val="20"/>
          <w:szCs w:val="20"/>
        </w:rPr>
        <w:lastRenderedPageBreak/>
        <w:t>condenser. The dispersion was heated to 80 °C and maintained for 5 h. After completion, the reaction mixture was diluted with water and filtered. The residue was washed repeatedly with water until a neutral pH was obtained and dried under vacuum at 40 °C overnight.</w:t>
      </w:r>
    </w:p>
    <w:p w14:paraId="5CA6CC44" w14:textId="77777777" w:rsidR="008A0EC5" w:rsidRPr="008A0EC5" w:rsidRDefault="008A0EC5" w:rsidP="008A0EC5">
      <w:pPr>
        <w:jc w:val="both"/>
        <w:rPr>
          <w:sz w:val="20"/>
          <w:szCs w:val="20"/>
        </w:rPr>
      </w:pPr>
    </w:p>
    <w:p w14:paraId="172E141D" w14:textId="3A5333DA" w:rsidR="00741ACD" w:rsidRDefault="008A0EC5" w:rsidP="008A0EC5">
      <w:pPr>
        <w:jc w:val="both"/>
        <w:rPr>
          <w:sz w:val="20"/>
          <w:szCs w:val="20"/>
          <w:vertAlign w:val="superscript"/>
        </w:rPr>
      </w:pPr>
      <w:r w:rsidRPr="008A0EC5">
        <w:rPr>
          <w:sz w:val="20"/>
          <w:szCs w:val="20"/>
        </w:rPr>
        <w:t>For carboxylation, the oxidized MWCNTs were treated with hydrochloric acid. In this step, 500 mg of MWCNTs was placed in a round-bottom flask, and 200 mL of HCl was added. The reaction mixture was magnetically stirred for 2 h, then diluted, filtered, washed with ultrapure water, and dried under vacuum overnight</w:t>
      </w:r>
      <w:r w:rsidRPr="008A0EC5">
        <w:rPr>
          <w:sz w:val="20"/>
          <w:szCs w:val="20"/>
          <w:vertAlign w:val="superscript"/>
        </w:rPr>
        <w:t>16</w:t>
      </w:r>
      <w:r>
        <w:rPr>
          <w:sz w:val="20"/>
          <w:szCs w:val="20"/>
          <w:vertAlign w:val="superscript"/>
        </w:rPr>
        <w:t>.</w:t>
      </w:r>
    </w:p>
    <w:p w14:paraId="0094AF5A" w14:textId="77777777" w:rsidR="008A0EC5" w:rsidRPr="00277ED3" w:rsidRDefault="008A0EC5" w:rsidP="008A0EC5">
      <w:pPr>
        <w:jc w:val="both"/>
        <w:rPr>
          <w:b/>
          <w:bCs/>
          <w:color w:val="000000"/>
          <w:sz w:val="20"/>
          <w:szCs w:val="20"/>
        </w:rPr>
      </w:pPr>
    </w:p>
    <w:p w14:paraId="5DC66703" w14:textId="77777777" w:rsidR="00225D4A" w:rsidRPr="00E44753" w:rsidRDefault="00225D4A" w:rsidP="00E44753">
      <w:pPr>
        <w:jc w:val="both"/>
        <w:rPr>
          <w:sz w:val="20"/>
          <w:szCs w:val="20"/>
        </w:rPr>
      </w:pPr>
      <w:r w:rsidRPr="00E44753">
        <w:rPr>
          <w:b/>
          <w:bCs/>
          <w:sz w:val="20"/>
          <w:szCs w:val="20"/>
        </w:rPr>
        <w:t>Characterization of FMWCNT</w:t>
      </w:r>
    </w:p>
    <w:p w14:paraId="1F6ACD10" w14:textId="77777777" w:rsidR="00225D4A" w:rsidRPr="00E44753" w:rsidRDefault="00225D4A" w:rsidP="00E44753">
      <w:pPr>
        <w:jc w:val="both"/>
        <w:rPr>
          <w:sz w:val="20"/>
          <w:szCs w:val="20"/>
          <w:shd w:val="clear" w:color="auto" w:fill="FFFFFF"/>
        </w:rPr>
      </w:pPr>
      <w:r w:rsidRPr="00E44753">
        <w:rPr>
          <w:sz w:val="20"/>
          <w:szCs w:val="20"/>
        </w:rPr>
        <w:t>Both (mass and IR spectroscopy) studied were conducted as per regular standard procedures.</w:t>
      </w:r>
    </w:p>
    <w:p w14:paraId="5F4992A9" w14:textId="77777777" w:rsidR="00225D4A" w:rsidRPr="00277ED3" w:rsidRDefault="00225D4A" w:rsidP="00E44753">
      <w:pPr>
        <w:jc w:val="both"/>
        <w:rPr>
          <w:color w:val="000000"/>
          <w:sz w:val="20"/>
          <w:szCs w:val="20"/>
        </w:rPr>
      </w:pPr>
      <w:r w:rsidRPr="00E44753">
        <w:rPr>
          <w:bCs/>
          <w:sz w:val="20"/>
          <w:szCs w:val="20"/>
          <w:shd w:val="clear" w:color="auto" w:fill="FFFFFF"/>
        </w:rPr>
        <w:t>Mass spectrometry</w:t>
      </w:r>
      <w:r w:rsidRPr="00E44753">
        <w:rPr>
          <w:sz w:val="20"/>
          <w:szCs w:val="20"/>
          <w:shd w:val="clear" w:color="auto" w:fill="FFFFFF"/>
        </w:rPr>
        <w:t> (</w:t>
      </w:r>
      <w:r w:rsidRPr="00E44753">
        <w:rPr>
          <w:bCs/>
          <w:sz w:val="20"/>
          <w:szCs w:val="20"/>
          <w:shd w:val="clear" w:color="auto" w:fill="FFFFFF"/>
        </w:rPr>
        <w:t>MS</w:t>
      </w:r>
      <w:r w:rsidRPr="00E44753">
        <w:rPr>
          <w:sz w:val="20"/>
          <w:szCs w:val="20"/>
          <w:shd w:val="clear" w:color="auto" w:fill="FFFFFF"/>
        </w:rPr>
        <w:t xml:space="preserve">) is a method for the mass-to-charge ratio measurement of ions. </w:t>
      </w:r>
      <w:r w:rsidRPr="00E44753">
        <w:rPr>
          <w:sz w:val="20"/>
          <w:szCs w:val="20"/>
        </w:rPr>
        <w:t>IR spectra of pure and functionalized MWCNT were noted from 4,000 to 400 cm</w:t>
      </w:r>
      <w:r w:rsidRPr="00E44753">
        <w:rPr>
          <w:sz w:val="20"/>
          <w:szCs w:val="20"/>
          <w:vertAlign w:val="superscript"/>
        </w:rPr>
        <w:t>−1</w:t>
      </w:r>
      <w:r w:rsidRPr="00E44753">
        <w:rPr>
          <w:sz w:val="20"/>
          <w:szCs w:val="20"/>
        </w:rPr>
        <w:t xml:space="preserve"> with and FTIR-8400; Shimadzu Corporation, Kyoto, Japan outfitted with a diffuse reflectance extra (DRS-8000; Shimadzu Corporation, Japan) and an information station to affirm medicate capture in the polymer. Around 2-3 mg tests were set up by dispensation compressed KBR discs</w:t>
      </w:r>
      <w:r w:rsidR="008665D5" w:rsidRPr="00E44753">
        <w:rPr>
          <w:sz w:val="20"/>
          <w:szCs w:val="20"/>
          <w:vertAlign w:val="superscript"/>
        </w:rPr>
        <w:fldChar w:fldCharType="begin"/>
      </w:r>
      <w:r w:rsidRPr="00E44753">
        <w:rPr>
          <w:sz w:val="20"/>
          <w:szCs w:val="20"/>
          <w:vertAlign w:val="superscript"/>
        </w:rPr>
        <w:instrText xml:space="preserve"> ADDIN ZOTERO_ITEM CSL_CITATION {"citationID":"KZc8EgST","properties":{"formattedCitation":"(20)","plainCitation":"(20)","noteIndex":0},"citationItems":[{"id":1493,"uris":["http://zotero.org/users/local/on014HYB/items/9H6IB2NI"],"uri":["http://zotero.org/users/local/on014HYB/items/9H6IB2NI"],"itemData":{"id":1493,"type":"article-journal","container-title":"Journal of nanoscience and nanotechnology","issue":"6","note":"publisher: American Scientific Publishers","page":"1820–1823","source":"Google Scholar","title":"FTIR Spectroscopy of multiwalled carbon nanotubes: a Simple approachto study the nitrogen doping","title-short":"FTIR Spectroscopy of multiwalled carbon nanotubes","volume":"7","author":[{"family":"Misra","given":"Abha"},{"family":"Tyagi","given":"Pawan K."},{"family":"Rai","given":"Padmnabh"},{"family":"Misra","given":"D. S."}],"issued":{"date-parts":[["2007"]]}}}],"schema":"https://github.com/citation-style-language/schema/raw/master/csl-citation.json"} </w:instrText>
      </w:r>
      <w:r w:rsidR="008665D5" w:rsidRPr="00E44753">
        <w:rPr>
          <w:sz w:val="20"/>
          <w:szCs w:val="20"/>
          <w:vertAlign w:val="superscript"/>
        </w:rPr>
        <w:fldChar w:fldCharType="separate"/>
      </w:r>
      <w:r w:rsidRPr="00E44753">
        <w:rPr>
          <w:sz w:val="20"/>
          <w:szCs w:val="20"/>
          <w:vertAlign w:val="superscript"/>
        </w:rPr>
        <w:t>17</w:t>
      </w:r>
      <w:r w:rsidR="008665D5" w:rsidRPr="00E44753">
        <w:rPr>
          <w:sz w:val="20"/>
          <w:szCs w:val="20"/>
          <w:vertAlign w:val="superscript"/>
        </w:rPr>
        <w:fldChar w:fldCharType="end"/>
      </w:r>
      <w:r w:rsidRPr="00E44753">
        <w:rPr>
          <w:sz w:val="20"/>
          <w:szCs w:val="20"/>
        </w:rPr>
        <w:t>.</w:t>
      </w:r>
    </w:p>
    <w:p w14:paraId="248C51E9" w14:textId="77777777" w:rsidR="00225D4A" w:rsidRPr="00277ED3" w:rsidRDefault="00225D4A" w:rsidP="00E44753">
      <w:pPr>
        <w:pStyle w:val="Body"/>
        <w:spacing w:after="0" w:line="240" w:lineRule="auto"/>
        <w:jc w:val="both"/>
        <w:rPr>
          <w:rFonts w:ascii="Times New Roman" w:eastAsia="Times New Roman" w:hAnsi="Times New Roman" w:cs="Times New Roman"/>
          <w:b/>
          <w:bCs/>
          <w:sz w:val="20"/>
          <w:szCs w:val="20"/>
        </w:rPr>
      </w:pPr>
    </w:p>
    <w:p w14:paraId="23A2D5FD" w14:textId="77777777" w:rsidR="008A0EC5" w:rsidRPr="008A0EC5" w:rsidRDefault="008A0EC5" w:rsidP="008A0EC5">
      <w:pPr>
        <w:pStyle w:val="Body"/>
        <w:jc w:val="both"/>
        <w:rPr>
          <w:rFonts w:ascii="Times New Roman" w:hAnsi="Times New Roman" w:cs="Times New Roman"/>
          <w:b/>
          <w:sz w:val="20"/>
          <w:szCs w:val="20"/>
        </w:rPr>
      </w:pPr>
      <w:r w:rsidRPr="008A0EC5">
        <w:rPr>
          <w:rFonts w:ascii="Times New Roman" w:hAnsi="Times New Roman" w:cs="Times New Roman"/>
          <w:b/>
          <w:sz w:val="20"/>
          <w:szCs w:val="20"/>
        </w:rPr>
        <w:t>Drug Loading</w:t>
      </w:r>
    </w:p>
    <w:p w14:paraId="1D4B891D" w14:textId="02D1127D" w:rsidR="008A0EC5" w:rsidRPr="008A0EC5" w:rsidRDefault="008A0EC5" w:rsidP="008A0EC5">
      <w:pPr>
        <w:pStyle w:val="Body"/>
        <w:jc w:val="both"/>
        <w:rPr>
          <w:rFonts w:ascii="Times New Roman" w:hAnsi="Times New Roman" w:cs="Times New Roman"/>
          <w:bCs/>
          <w:sz w:val="20"/>
          <w:szCs w:val="20"/>
        </w:rPr>
      </w:pPr>
      <w:r w:rsidRPr="008A0EC5">
        <w:rPr>
          <w:rFonts w:ascii="Times New Roman" w:hAnsi="Times New Roman" w:cs="Times New Roman"/>
          <w:bCs/>
          <w:sz w:val="20"/>
          <w:szCs w:val="20"/>
        </w:rPr>
        <w:t xml:space="preserve">A concentrated solution of cefdinir in phosphate buffer (pH 7.4) was prepared and added to functionalized MWCNTs (FMWCNTs) with continuous agitation using an </w:t>
      </w:r>
      <w:proofErr w:type="spellStart"/>
      <w:r w:rsidRPr="008A0EC5">
        <w:rPr>
          <w:rFonts w:ascii="Times New Roman" w:hAnsi="Times New Roman" w:cs="Times New Roman"/>
          <w:bCs/>
          <w:sz w:val="20"/>
          <w:szCs w:val="20"/>
        </w:rPr>
        <w:t>ultrasonicator</w:t>
      </w:r>
      <w:proofErr w:type="spellEnd"/>
      <w:r w:rsidRPr="008A0EC5">
        <w:rPr>
          <w:rFonts w:ascii="Times New Roman" w:hAnsi="Times New Roman" w:cs="Times New Roman"/>
          <w:bCs/>
          <w:sz w:val="20"/>
          <w:szCs w:val="20"/>
        </w:rPr>
        <w:t>. The resulting mixture was stirred for 2 h to ensure uniform drug adsorption. The dispersion was then subjected to vacuum filtration using a 0.45 µm membrane filter. The collected microparticle suspension was lyophilized with 2.5% (w/v) mannitol as a cryoprotectant to obtain the cefdinir-loaded FMWCNT carrier-based DPI</w:t>
      </w:r>
      <w:r w:rsidRPr="008A0EC5">
        <w:rPr>
          <w:rFonts w:ascii="Times New Roman" w:hAnsi="Times New Roman" w:cs="Times New Roman"/>
          <w:bCs/>
          <w:sz w:val="20"/>
          <w:szCs w:val="20"/>
          <w:vertAlign w:val="superscript"/>
        </w:rPr>
        <w:t>18</w:t>
      </w:r>
      <w:r>
        <w:rPr>
          <w:rFonts w:ascii="Times New Roman" w:hAnsi="Times New Roman" w:cs="Times New Roman"/>
          <w:bCs/>
          <w:sz w:val="20"/>
          <w:szCs w:val="20"/>
        </w:rPr>
        <w:t>.</w:t>
      </w:r>
    </w:p>
    <w:p w14:paraId="74CA82A1" w14:textId="77777777" w:rsidR="008A0EC5" w:rsidRPr="008A0EC5" w:rsidRDefault="008A0EC5" w:rsidP="008A0EC5">
      <w:pPr>
        <w:pStyle w:val="Body"/>
        <w:jc w:val="both"/>
        <w:rPr>
          <w:rFonts w:ascii="Times New Roman" w:hAnsi="Times New Roman" w:cs="Times New Roman"/>
          <w:b/>
          <w:sz w:val="20"/>
          <w:szCs w:val="20"/>
        </w:rPr>
      </w:pPr>
      <w:r w:rsidRPr="008A0EC5">
        <w:rPr>
          <w:rFonts w:ascii="Times New Roman" w:hAnsi="Times New Roman" w:cs="Times New Roman"/>
          <w:b/>
          <w:sz w:val="20"/>
          <w:szCs w:val="20"/>
        </w:rPr>
        <w:t>SEM Study</w:t>
      </w:r>
    </w:p>
    <w:p w14:paraId="2A0B3054" w14:textId="600DFC8D" w:rsidR="008A0EC5" w:rsidRPr="008A0EC5" w:rsidRDefault="008A0EC5" w:rsidP="008A0EC5">
      <w:pPr>
        <w:pStyle w:val="Body"/>
        <w:jc w:val="both"/>
        <w:rPr>
          <w:rFonts w:ascii="Times New Roman" w:hAnsi="Times New Roman" w:cs="Times New Roman"/>
          <w:bCs/>
          <w:sz w:val="20"/>
          <w:szCs w:val="20"/>
        </w:rPr>
      </w:pPr>
      <w:r w:rsidRPr="008A0EC5">
        <w:rPr>
          <w:rFonts w:ascii="Times New Roman" w:hAnsi="Times New Roman" w:cs="Times New Roman"/>
          <w:bCs/>
          <w:sz w:val="20"/>
          <w:szCs w:val="20"/>
        </w:rPr>
        <w:t>The morphology of the formulated cefdinir-loaded FMWCNTs (F-CEF FMWCNT and FMWCNTs) was analyzed using scanning electron microscopy (SEM). Samples were mounted on stubs and examined with a JEOL JSM-6360A SEM (Tokyo, Japan) at an accelerating voltage of 10 kV</w:t>
      </w:r>
      <w:r w:rsidRPr="008A0EC5">
        <w:rPr>
          <w:rFonts w:ascii="Times New Roman" w:hAnsi="Times New Roman" w:cs="Times New Roman"/>
          <w:bCs/>
          <w:sz w:val="20"/>
          <w:szCs w:val="20"/>
          <w:vertAlign w:val="superscript"/>
        </w:rPr>
        <w:t>19</w:t>
      </w:r>
      <w:r>
        <w:rPr>
          <w:rFonts w:ascii="Times New Roman" w:hAnsi="Times New Roman" w:cs="Times New Roman"/>
          <w:bCs/>
          <w:sz w:val="20"/>
          <w:szCs w:val="20"/>
        </w:rPr>
        <w:t>.</w:t>
      </w:r>
    </w:p>
    <w:p w14:paraId="4EFFF6EE" w14:textId="77777777" w:rsidR="008A0EC5" w:rsidRPr="008A0EC5" w:rsidRDefault="008A0EC5" w:rsidP="008A0EC5">
      <w:pPr>
        <w:pStyle w:val="Body"/>
        <w:jc w:val="both"/>
        <w:rPr>
          <w:rFonts w:ascii="Times New Roman" w:hAnsi="Times New Roman" w:cs="Times New Roman"/>
          <w:b/>
          <w:sz w:val="20"/>
          <w:szCs w:val="20"/>
        </w:rPr>
      </w:pPr>
      <w:r w:rsidRPr="008A0EC5">
        <w:rPr>
          <w:rFonts w:ascii="Times New Roman" w:hAnsi="Times New Roman" w:cs="Times New Roman"/>
          <w:b/>
          <w:sz w:val="20"/>
          <w:szCs w:val="20"/>
        </w:rPr>
        <w:t>Entrapment Efficiency</w:t>
      </w:r>
    </w:p>
    <w:p w14:paraId="4D9D4638" w14:textId="292756D7" w:rsidR="00225D4A" w:rsidRDefault="008A0EC5" w:rsidP="008A0EC5">
      <w:pPr>
        <w:pStyle w:val="Body"/>
        <w:spacing w:after="0" w:line="240" w:lineRule="auto"/>
        <w:jc w:val="both"/>
        <w:rPr>
          <w:rFonts w:ascii="Times New Roman" w:hAnsi="Times New Roman" w:cs="Times New Roman"/>
          <w:bCs/>
          <w:sz w:val="20"/>
          <w:szCs w:val="20"/>
        </w:rPr>
      </w:pPr>
      <w:r w:rsidRPr="008A0EC5">
        <w:rPr>
          <w:rFonts w:ascii="Times New Roman" w:hAnsi="Times New Roman" w:cs="Times New Roman"/>
          <w:bCs/>
          <w:sz w:val="20"/>
          <w:szCs w:val="20"/>
        </w:rPr>
        <w:t>The drug entrapment efficiency was determined by measuring the amount of unentrapped drug. Ten milligrams of the powder was dissolved in phosphate buffer (pH 7.4), and the concentration of free cefdinir was estimated spectrophotometrically at 286 nm</w:t>
      </w:r>
      <w:r w:rsidRPr="008A0EC5">
        <w:rPr>
          <w:rFonts w:ascii="Times New Roman" w:hAnsi="Times New Roman" w:cs="Times New Roman"/>
          <w:bCs/>
          <w:sz w:val="20"/>
          <w:szCs w:val="20"/>
          <w:vertAlign w:val="superscript"/>
        </w:rPr>
        <w:t>20</w:t>
      </w:r>
      <w:r>
        <w:rPr>
          <w:rFonts w:ascii="Times New Roman" w:hAnsi="Times New Roman" w:cs="Times New Roman"/>
          <w:bCs/>
          <w:sz w:val="20"/>
          <w:szCs w:val="20"/>
        </w:rPr>
        <w:t>.</w:t>
      </w:r>
    </w:p>
    <w:p w14:paraId="566D8377" w14:textId="77777777" w:rsidR="008A0EC5" w:rsidRPr="008A0EC5" w:rsidRDefault="008A0EC5" w:rsidP="008A0EC5">
      <w:pPr>
        <w:pStyle w:val="Body"/>
        <w:spacing w:after="0" w:line="240" w:lineRule="auto"/>
        <w:jc w:val="both"/>
        <w:rPr>
          <w:rFonts w:ascii="Times New Roman" w:eastAsia="Times New Roman" w:hAnsi="Times New Roman" w:cs="Times New Roman"/>
          <w:bCs/>
          <w:sz w:val="20"/>
          <w:szCs w:val="20"/>
        </w:rPr>
      </w:pPr>
    </w:p>
    <w:p w14:paraId="5B428F47" w14:textId="77777777" w:rsidR="008A0EC5" w:rsidRPr="008A0EC5" w:rsidRDefault="008A0EC5" w:rsidP="008A0EC5">
      <w:pPr>
        <w:pStyle w:val="Body"/>
        <w:jc w:val="both"/>
        <w:rPr>
          <w:rFonts w:ascii="Times New Roman" w:eastAsia="Times New Roman" w:hAnsi="Times New Roman" w:cs="Times New Roman"/>
          <w:b/>
          <w:color w:val="auto"/>
          <w:sz w:val="20"/>
          <w:szCs w:val="18"/>
          <w:bdr w:val="none" w:sz="0" w:space="0" w:color="auto"/>
          <w:lang w:val="en-IN"/>
        </w:rPr>
      </w:pPr>
      <w:r w:rsidRPr="008A0EC5">
        <w:rPr>
          <w:rFonts w:ascii="Times New Roman" w:eastAsia="Times New Roman" w:hAnsi="Times New Roman" w:cs="Times New Roman"/>
          <w:b/>
          <w:color w:val="auto"/>
          <w:sz w:val="20"/>
          <w:szCs w:val="18"/>
          <w:bdr w:val="none" w:sz="0" w:space="0" w:color="auto"/>
          <w:lang w:val="en-IN"/>
        </w:rPr>
        <w:t>Characterization of Cefdinir-Loaded FMWCNT-Based DPI</w:t>
      </w:r>
    </w:p>
    <w:p w14:paraId="6DCE28F7" w14:textId="77777777" w:rsidR="008A0EC5" w:rsidRPr="008A0EC5" w:rsidRDefault="008A0EC5" w:rsidP="008A0EC5">
      <w:pPr>
        <w:pStyle w:val="Body"/>
        <w:jc w:val="both"/>
        <w:rPr>
          <w:rFonts w:ascii="Times New Roman" w:eastAsia="Times New Roman" w:hAnsi="Times New Roman" w:cs="Times New Roman"/>
          <w:b/>
          <w:color w:val="auto"/>
          <w:sz w:val="20"/>
          <w:szCs w:val="18"/>
          <w:bdr w:val="none" w:sz="0" w:space="0" w:color="auto"/>
          <w:lang w:val="en-IN"/>
        </w:rPr>
      </w:pPr>
      <w:r w:rsidRPr="008A0EC5">
        <w:rPr>
          <w:rFonts w:ascii="Times New Roman" w:eastAsia="Times New Roman" w:hAnsi="Times New Roman" w:cs="Times New Roman"/>
          <w:b/>
          <w:color w:val="auto"/>
          <w:sz w:val="20"/>
          <w:szCs w:val="18"/>
          <w:bdr w:val="none" w:sz="0" w:space="0" w:color="auto"/>
          <w:lang w:val="en-IN"/>
        </w:rPr>
        <w:t>a) Determination of Drug Content</w:t>
      </w:r>
    </w:p>
    <w:p w14:paraId="19068365" w14:textId="79D1C48C" w:rsidR="008A0EC5" w:rsidRPr="008A0EC5" w:rsidRDefault="008A0EC5" w:rsidP="008A0EC5">
      <w:pPr>
        <w:pStyle w:val="Body"/>
        <w:jc w:val="both"/>
        <w:rPr>
          <w:rFonts w:ascii="Times New Roman" w:eastAsia="Times New Roman" w:hAnsi="Times New Roman" w:cs="Times New Roman"/>
          <w:bCs/>
          <w:color w:val="auto"/>
          <w:sz w:val="20"/>
          <w:szCs w:val="18"/>
          <w:bdr w:val="none" w:sz="0" w:space="0" w:color="auto"/>
          <w:lang w:val="en-IN"/>
        </w:rPr>
      </w:pPr>
      <w:r w:rsidRPr="008A0EC5">
        <w:rPr>
          <w:rFonts w:ascii="Times New Roman" w:eastAsia="Times New Roman" w:hAnsi="Times New Roman" w:cs="Times New Roman"/>
          <w:bCs/>
          <w:color w:val="auto"/>
          <w:sz w:val="20"/>
          <w:szCs w:val="18"/>
          <w:bdr w:val="none" w:sz="0" w:space="0" w:color="auto"/>
          <w:lang w:val="en-IN"/>
        </w:rPr>
        <w:t xml:space="preserve">The amount of cefdinir present in F-CEF FMWCNT-DPI was quantified by dissolving the formulation in phosphate buffer (pH 7.4) using a cyclomixer followed by ultrasonication to ensure complete dispersion. The solution was then </w:t>
      </w:r>
      <w:proofErr w:type="spellStart"/>
      <w:r w:rsidRPr="008A0EC5">
        <w:rPr>
          <w:rFonts w:ascii="Times New Roman" w:eastAsia="Times New Roman" w:hAnsi="Times New Roman" w:cs="Times New Roman"/>
          <w:bCs/>
          <w:color w:val="auto"/>
          <w:sz w:val="20"/>
          <w:szCs w:val="18"/>
          <w:bdr w:val="none" w:sz="0" w:space="0" w:color="auto"/>
          <w:lang w:val="en-IN"/>
        </w:rPr>
        <w:t>analyzed</w:t>
      </w:r>
      <w:proofErr w:type="spellEnd"/>
      <w:r w:rsidRPr="008A0EC5">
        <w:rPr>
          <w:rFonts w:ascii="Times New Roman" w:eastAsia="Times New Roman" w:hAnsi="Times New Roman" w:cs="Times New Roman"/>
          <w:bCs/>
          <w:color w:val="auto"/>
          <w:sz w:val="20"/>
          <w:szCs w:val="18"/>
          <w:bdr w:val="none" w:sz="0" w:space="0" w:color="auto"/>
          <w:lang w:val="en-IN"/>
        </w:rPr>
        <w:t xml:space="preserve"> at 286 nm using a UV-visible spectrophotometer (V-530; JASCO, Japan)</w:t>
      </w:r>
      <w:r w:rsidR="00CA55D9" w:rsidRPr="00CA55D9">
        <w:rPr>
          <w:rFonts w:ascii="Times New Roman" w:eastAsia="Times New Roman" w:hAnsi="Times New Roman" w:cs="Times New Roman"/>
          <w:bCs/>
          <w:color w:val="auto"/>
          <w:sz w:val="20"/>
          <w:szCs w:val="18"/>
          <w:bdr w:val="none" w:sz="0" w:space="0" w:color="auto"/>
          <w:vertAlign w:val="superscript"/>
          <w:lang w:val="en-IN"/>
        </w:rPr>
        <w:t>21</w:t>
      </w:r>
      <w:r w:rsidR="00CA55D9">
        <w:rPr>
          <w:rFonts w:ascii="Times New Roman" w:eastAsia="Times New Roman" w:hAnsi="Times New Roman" w:cs="Times New Roman"/>
          <w:bCs/>
          <w:color w:val="auto"/>
          <w:sz w:val="20"/>
          <w:szCs w:val="18"/>
          <w:bdr w:val="none" w:sz="0" w:space="0" w:color="auto"/>
          <w:lang w:val="en-IN"/>
        </w:rPr>
        <w:t>.</w:t>
      </w:r>
    </w:p>
    <w:p w14:paraId="484096DC" w14:textId="77777777" w:rsidR="008A0EC5" w:rsidRPr="008A0EC5" w:rsidRDefault="008A0EC5" w:rsidP="008A0EC5">
      <w:pPr>
        <w:pStyle w:val="Body"/>
        <w:jc w:val="both"/>
        <w:rPr>
          <w:rFonts w:ascii="Times New Roman" w:eastAsia="Times New Roman" w:hAnsi="Times New Roman" w:cs="Times New Roman"/>
          <w:b/>
          <w:color w:val="auto"/>
          <w:sz w:val="20"/>
          <w:szCs w:val="18"/>
          <w:bdr w:val="none" w:sz="0" w:space="0" w:color="auto"/>
          <w:lang w:val="en-IN"/>
        </w:rPr>
      </w:pPr>
      <w:r w:rsidRPr="008A0EC5">
        <w:rPr>
          <w:rFonts w:ascii="Times New Roman" w:eastAsia="Times New Roman" w:hAnsi="Times New Roman" w:cs="Times New Roman"/>
          <w:b/>
          <w:color w:val="auto"/>
          <w:sz w:val="20"/>
          <w:szCs w:val="18"/>
          <w:bdr w:val="none" w:sz="0" w:space="0" w:color="auto"/>
          <w:lang w:val="en-IN"/>
        </w:rPr>
        <w:t>b) Particle Size Analysis</w:t>
      </w:r>
    </w:p>
    <w:p w14:paraId="12DCDBE7" w14:textId="19DE92AE" w:rsidR="008A0EC5" w:rsidRPr="008A0EC5" w:rsidRDefault="008A0EC5" w:rsidP="008A0EC5">
      <w:pPr>
        <w:pStyle w:val="Body"/>
        <w:jc w:val="both"/>
        <w:rPr>
          <w:rFonts w:ascii="Times New Roman" w:eastAsia="Times New Roman" w:hAnsi="Times New Roman" w:cs="Times New Roman"/>
          <w:bCs/>
          <w:color w:val="auto"/>
          <w:sz w:val="20"/>
          <w:szCs w:val="18"/>
          <w:bdr w:val="none" w:sz="0" w:space="0" w:color="auto"/>
          <w:vertAlign w:val="superscript"/>
          <w:lang w:val="en-IN"/>
        </w:rPr>
      </w:pPr>
      <w:r w:rsidRPr="008A0EC5">
        <w:rPr>
          <w:rFonts w:ascii="Times New Roman" w:eastAsia="Times New Roman" w:hAnsi="Times New Roman" w:cs="Times New Roman"/>
          <w:bCs/>
          <w:color w:val="auto"/>
          <w:sz w:val="20"/>
          <w:szCs w:val="18"/>
          <w:bdr w:val="none" w:sz="0" w:space="0" w:color="auto"/>
          <w:lang w:val="en-IN"/>
        </w:rPr>
        <w:t xml:space="preserve">The average particle size of F-CEF FMWCNT-DPI and C-CEF DPI (a 1:68 mixture of cefdinir and inhalable lactose) was determined using a laser diffraction </w:t>
      </w:r>
      <w:proofErr w:type="spellStart"/>
      <w:r w:rsidRPr="008A0EC5">
        <w:rPr>
          <w:rFonts w:ascii="Times New Roman" w:eastAsia="Times New Roman" w:hAnsi="Times New Roman" w:cs="Times New Roman"/>
          <w:bCs/>
          <w:color w:val="auto"/>
          <w:sz w:val="20"/>
          <w:szCs w:val="18"/>
          <w:bdr w:val="none" w:sz="0" w:space="0" w:color="auto"/>
          <w:lang w:val="en-IN"/>
        </w:rPr>
        <w:t>analyzer</w:t>
      </w:r>
      <w:proofErr w:type="spellEnd"/>
      <w:r w:rsidRPr="008A0EC5">
        <w:rPr>
          <w:rFonts w:ascii="Times New Roman" w:eastAsia="Times New Roman" w:hAnsi="Times New Roman" w:cs="Times New Roman"/>
          <w:bCs/>
          <w:color w:val="auto"/>
          <w:sz w:val="20"/>
          <w:szCs w:val="18"/>
          <w:bdr w:val="none" w:sz="0" w:space="0" w:color="auto"/>
          <w:lang w:val="en-IN"/>
        </w:rPr>
        <w:t xml:space="preserve"> (Malvern 2000 SM, Malvern Instruments, UK). Particle size distribution was expressed as </w:t>
      </w:r>
      <w:proofErr w:type="gramStart"/>
      <w:r w:rsidR="00CA55D9" w:rsidRPr="008A0EC5">
        <w:rPr>
          <w:rFonts w:ascii="Times New Roman" w:eastAsia="Times New Roman" w:hAnsi="Times New Roman" w:cs="Times New Roman"/>
          <w:bCs/>
          <w:color w:val="auto"/>
          <w:sz w:val="20"/>
          <w:szCs w:val="18"/>
          <w:bdr w:val="none" w:sz="0" w:space="0" w:color="auto"/>
          <w:lang w:val="en-IN"/>
        </w:rPr>
        <w:t>D(</w:t>
      </w:r>
      <w:proofErr w:type="gramEnd"/>
      <w:r w:rsidRPr="008A0EC5">
        <w:rPr>
          <w:rFonts w:ascii="Times New Roman" w:eastAsia="Times New Roman" w:hAnsi="Times New Roman" w:cs="Times New Roman"/>
          <w:bCs/>
          <w:color w:val="auto"/>
          <w:sz w:val="20"/>
          <w:szCs w:val="18"/>
          <w:bdr w:val="none" w:sz="0" w:space="0" w:color="auto"/>
          <w:lang w:val="en-IN"/>
        </w:rPr>
        <w:t>0.9), representing the diameter below which 90% of the particles were present</w:t>
      </w:r>
      <w:r w:rsidRPr="008A0EC5">
        <w:rPr>
          <w:rFonts w:ascii="Times New Roman" w:eastAsia="Times New Roman" w:hAnsi="Times New Roman" w:cs="Times New Roman"/>
          <w:bCs/>
          <w:color w:val="auto"/>
          <w:sz w:val="20"/>
          <w:szCs w:val="18"/>
          <w:bdr w:val="none" w:sz="0" w:space="0" w:color="auto"/>
          <w:vertAlign w:val="superscript"/>
          <w:lang w:val="en-IN"/>
        </w:rPr>
        <w:t>23</w:t>
      </w:r>
      <w:r w:rsidRPr="008A0EC5">
        <w:rPr>
          <w:rFonts w:ascii="Times New Roman" w:eastAsia="Times New Roman" w:hAnsi="Times New Roman" w:cs="Times New Roman"/>
          <w:bCs/>
          <w:color w:val="auto"/>
          <w:sz w:val="20"/>
          <w:szCs w:val="18"/>
          <w:bdr w:val="none" w:sz="0" w:space="0" w:color="auto"/>
          <w:vertAlign w:val="superscript"/>
          <w:lang w:val="en-IN"/>
        </w:rPr>
        <w:t>,</w:t>
      </w:r>
      <w:r w:rsidRPr="008A0EC5">
        <w:rPr>
          <w:rFonts w:ascii="Times New Roman" w:eastAsia="Times New Roman" w:hAnsi="Times New Roman" w:cs="Times New Roman"/>
          <w:bCs/>
          <w:color w:val="auto"/>
          <w:sz w:val="20"/>
          <w:szCs w:val="18"/>
          <w:bdr w:val="none" w:sz="0" w:space="0" w:color="auto"/>
          <w:vertAlign w:val="superscript"/>
          <w:lang w:val="en-IN"/>
        </w:rPr>
        <w:t>24</w:t>
      </w:r>
      <w:r w:rsidRPr="008A0EC5">
        <w:rPr>
          <w:rFonts w:ascii="Times New Roman" w:eastAsia="Times New Roman" w:hAnsi="Times New Roman" w:cs="Times New Roman"/>
          <w:bCs/>
          <w:color w:val="auto"/>
          <w:sz w:val="20"/>
          <w:szCs w:val="18"/>
          <w:bdr w:val="none" w:sz="0" w:space="0" w:color="auto"/>
          <w:lang w:val="en-IN"/>
        </w:rPr>
        <w:t>.</w:t>
      </w:r>
      <w:r>
        <w:rPr>
          <w:rFonts w:ascii="Times New Roman" w:eastAsia="Times New Roman" w:hAnsi="Times New Roman" w:cs="Times New Roman"/>
          <w:bCs/>
          <w:color w:val="auto"/>
          <w:sz w:val="20"/>
          <w:szCs w:val="18"/>
          <w:bdr w:val="none" w:sz="0" w:space="0" w:color="auto"/>
          <w:vertAlign w:val="superscript"/>
          <w:lang w:val="en-IN"/>
        </w:rPr>
        <w:t xml:space="preserve"> </w:t>
      </w:r>
    </w:p>
    <w:p w14:paraId="6BB81173" w14:textId="4F2FDCE2" w:rsidR="008A0EC5" w:rsidRPr="008A0EC5" w:rsidRDefault="008A0EC5" w:rsidP="008A0EC5">
      <w:pPr>
        <w:pStyle w:val="Body"/>
        <w:jc w:val="both"/>
        <w:rPr>
          <w:rFonts w:ascii="Times New Roman" w:eastAsia="Times New Roman" w:hAnsi="Times New Roman" w:cs="Times New Roman"/>
          <w:b/>
          <w:color w:val="auto"/>
          <w:sz w:val="20"/>
          <w:szCs w:val="18"/>
          <w:bdr w:val="none" w:sz="0" w:space="0" w:color="auto"/>
          <w:lang w:val="en-IN"/>
        </w:rPr>
      </w:pPr>
      <w:r w:rsidRPr="008A0EC5">
        <w:rPr>
          <w:rFonts w:ascii="Times New Roman" w:eastAsia="Times New Roman" w:hAnsi="Times New Roman" w:cs="Times New Roman"/>
          <w:b/>
          <w:color w:val="auto"/>
          <w:sz w:val="20"/>
          <w:szCs w:val="18"/>
          <w:bdr w:val="none" w:sz="0" w:space="0" w:color="auto"/>
          <w:lang w:val="en-IN"/>
        </w:rPr>
        <w:t>c) In Vitro Drug Release</w:t>
      </w:r>
    </w:p>
    <w:p w14:paraId="50744E8C" w14:textId="12EC603A" w:rsidR="008A0EC5" w:rsidRPr="008A0EC5" w:rsidRDefault="008A0EC5" w:rsidP="008A0EC5">
      <w:pPr>
        <w:pStyle w:val="Body"/>
        <w:jc w:val="both"/>
        <w:rPr>
          <w:rFonts w:ascii="Times New Roman" w:eastAsia="Times New Roman" w:hAnsi="Times New Roman" w:cs="Times New Roman"/>
          <w:bCs/>
          <w:color w:val="auto"/>
          <w:sz w:val="20"/>
          <w:szCs w:val="18"/>
          <w:bdr w:val="none" w:sz="0" w:space="0" w:color="auto"/>
          <w:lang w:val="en-IN"/>
        </w:rPr>
      </w:pPr>
      <w:r w:rsidRPr="008A0EC5">
        <w:rPr>
          <w:rFonts w:ascii="Times New Roman" w:eastAsia="Times New Roman" w:hAnsi="Times New Roman" w:cs="Times New Roman"/>
          <w:bCs/>
          <w:color w:val="auto"/>
          <w:sz w:val="20"/>
          <w:szCs w:val="18"/>
          <w:bdr w:val="none" w:sz="0" w:space="0" w:color="auto"/>
          <w:lang w:val="en-IN"/>
        </w:rPr>
        <w:t>The release profiles of F-CEF FMWCNT-DPI, C-CEF DPI, and free cefdinir (equivalent to 1 mg drug) were evaluated using dialysis tubing (</w:t>
      </w:r>
      <w:proofErr w:type="spellStart"/>
      <w:r w:rsidRPr="008A0EC5">
        <w:rPr>
          <w:rFonts w:ascii="Times New Roman" w:eastAsia="Times New Roman" w:hAnsi="Times New Roman" w:cs="Times New Roman"/>
          <w:bCs/>
          <w:color w:val="auto"/>
          <w:sz w:val="20"/>
          <w:szCs w:val="18"/>
          <w:bdr w:val="none" w:sz="0" w:space="0" w:color="auto"/>
          <w:lang w:val="en-IN"/>
        </w:rPr>
        <w:t>Membracel</w:t>
      </w:r>
      <w:proofErr w:type="spellEnd"/>
      <w:r w:rsidRPr="008A0EC5">
        <w:rPr>
          <w:rFonts w:ascii="Times New Roman" w:eastAsia="Times New Roman" w:hAnsi="Times New Roman" w:cs="Times New Roman"/>
          <w:bCs/>
          <w:color w:val="auto"/>
          <w:sz w:val="20"/>
          <w:szCs w:val="18"/>
          <w:bdr w:val="none" w:sz="0" w:space="0" w:color="auto"/>
          <w:lang w:val="en-IN"/>
        </w:rPr>
        <w:t xml:space="preserve"> MD 34-14, 14 </w:t>
      </w:r>
      <w:proofErr w:type="spellStart"/>
      <w:r w:rsidRPr="008A0EC5">
        <w:rPr>
          <w:rFonts w:ascii="Times New Roman" w:eastAsia="Times New Roman" w:hAnsi="Times New Roman" w:cs="Times New Roman"/>
          <w:bCs/>
          <w:color w:val="auto"/>
          <w:sz w:val="20"/>
          <w:szCs w:val="18"/>
          <w:bdr w:val="none" w:sz="0" w:space="0" w:color="auto"/>
          <w:lang w:val="en-IN"/>
        </w:rPr>
        <w:t>kDa</w:t>
      </w:r>
      <w:proofErr w:type="spellEnd"/>
      <w:r w:rsidRPr="008A0EC5">
        <w:rPr>
          <w:rFonts w:ascii="Times New Roman" w:eastAsia="Times New Roman" w:hAnsi="Times New Roman" w:cs="Times New Roman"/>
          <w:bCs/>
          <w:color w:val="auto"/>
          <w:sz w:val="20"/>
          <w:szCs w:val="18"/>
          <w:bdr w:val="none" w:sz="0" w:space="0" w:color="auto"/>
          <w:lang w:val="en-IN"/>
        </w:rPr>
        <w:t xml:space="preserve"> cutoff) containing 2 mL of phosphate buffer (pH 7.4). The dialysis packs were suspended in 100 mL of PBS at 37 ± 0.5 °C and stirred at 100 rpm. At specified intervals, 1 mL samples were withdrawn and replaced with fresh buffer, then </w:t>
      </w:r>
      <w:proofErr w:type="spellStart"/>
      <w:r w:rsidRPr="008A0EC5">
        <w:rPr>
          <w:rFonts w:ascii="Times New Roman" w:eastAsia="Times New Roman" w:hAnsi="Times New Roman" w:cs="Times New Roman"/>
          <w:bCs/>
          <w:color w:val="auto"/>
          <w:sz w:val="20"/>
          <w:szCs w:val="18"/>
          <w:bdr w:val="none" w:sz="0" w:space="0" w:color="auto"/>
          <w:lang w:val="en-IN"/>
        </w:rPr>
        <w:t>analyzed</w:t>
      </w:r>
      <w:proofErr w:type="spellEnd"/>
      <w:r w:rsidRPr="008A0EC5">
        <w:rPr>
          <w:rFonts w:ascii="Times New Roman" w:eastAsia="Times New Roman" w:hAnsi="Times New Roman" w:cs="Times New Roman"/>
          <w:bCs/>
          <w:color w:val="auto"/>
          <w:sz w:val="20"/>
          <w:szCs w:val="18"/>
          <w:bdr w:val="none" w:sz="0" w:space="0" w:color="auto"/>
          <w:lang w:val="en-IN"/>
        </w:rPr>
        <w:t xml:space="preserve"> at 286 nm using a UV spectrophotometer</w:t>
      </w:r>
      <w:r w:rsidRPr="008A0EC5">
        <w:rPr>
          <w:rFonts w:ascii="Times New Roman" w:eastAsia="Times New Roman" w:hAnsi="Times New Roman" w:cs="Times New Roman"/>
          <w:bCs/>
          <w:color w:val="auto"/>
          <w:sz w:val="20"/>
          <w:szCs w:val="18"/>
          <w:bdr w:val="none" w:sz="0" w:space="0" w:color="auto"/>
          <w:vertAlign w:val="superscript"/>
          <w:lang w:val="en-IN"/>
        </w:rPr>
        <w:t>25</w:t>
      </w:r>
      <w:r>
        <w:rPr>
          <w:rFonts w:ascii="Times New Roman" w:eastAsia="Times New Roman" w:hAnsi="Times New Roman" w:cs="Times New Roman"/>
          <w:bCs/>
          <w:color w:val="auto"/>
          <w:sz w:val="20"/>
          <w:szCs w:val="18"/>
          <w:bdr w:val="none" w:sz="0" w:space="0" w:color="auto"/>
          <w:lang w:val="en-IN"/>
        </w:rPr>
        <w:t>.</w:t>
      </w:r>
    </w:p>
    <w:p w14:paraId="40A125DA" w14:textId="31D19600" w:rsidR="008A0EC5" w:rsidRPr="008A0EC5" w:rsidRDefault="008A0EC5" w:rsidP="008A0EC5">
      <w:pPr>
        <w:pStyle w:val="Body"/>
        <w:jc w:val="both"/>
        <w:rPr>
          <w:rFonts w:ascii="Times New Roman" w:eastAsia="Times New Roman" w:hAnsi="Times New Roman" w:cs="Times New Roman"/>
          <w:b/>
          <w:color w:val="auto"/>
          <w:sz w:val="20"/>
          <w:szCs w:val="18"/>
          <w:bdr w:val="none" w:sz="0" w:space="0" w:color="auto"/>
          <w:lang w:val="en-IN"/>
        </w:rPr>
      </w:pPr>
      <w:r w:rsidRPr="008A0EC5">
        <w:rPr>
          <w:rFonts w:ascii="Times New Roman" w:eastAsia="Times New Roman" w:hAnsi="Times New Roman" w:cs="Times New Roman"/>
          <w:b/>
          <w:color w:val="auto"/>
          <w:sz w:val="20"/>
          <w:szCs w:val="18"/>
          <w:bdr w:val="none" w:sz="0" w:space="0" w:color="auto"/>
          <w:lang w:val="en-IN"/>
        </w:rPr>
        <w:t>d) Stability Assessment</w:t>
      </w:r>
    </w:p>
    <w:p w14:paraId="0135EA80" w14:textId="0BF6FA69" w:rsidR="008A0EC5" w:rsidRPr="008A0EC5" w:rsidRDefault="008A0EC5" w:rsidP="008A0EC5">
      <w:pPr>
        <w:pStyle w:val="Body"/>
        <w:jc w:val="both"/>
        <w:rPr>
          <w:rFonts w:ascii="Times New Roman" w:eastAsia="Times New Roman" w:hAnsi="Times New Roman" w:cs="Times New Roman"/>
          <w:bCs/>
          <w:color w:val="auto"/>
          <w:sz w:val="20"/>
          <w:szCs w:val="18"/>
          <w:bdr w:val="none" w:sz="0" w:space="0" w:color="auto"/>
          <w:lang w:val="en-IN"/>
        </w:rPr>
      </w:pPr>
      <w:r w:rsidRPr="008A0EC5">
        <w:rPr>
          <w:rFonts w:ascii="Times New Roman" w:eastAsia="Times New Roman" w:hAnsi="Times New Roman" w:cs="Times New Roman"/>
          <w:bCs/>
          <w:color w:val="auto"/>
          <w:sz w:val="20"/>
          <w:szCs w:val="18"/>
          <w:bdr w:val="none" w:sz="0" w:space="0" w:color="auto"/>
          <w:lang w:val="en-IN"/>
        </w:rPr>
        <w:lastRenderedPageBreak/>
        <w:t>Accelerated stability testing of F-CEF FMWCNT-DPI was conducted according to ICH guidelines at 40 °C and 75% relative humidity for three months. Samples were examined periodically (1, 2, and 3 months) for any changes in drug content and particle size</w:t>
      </w:r>
      <w:r w:rsidRPr="008A0EC5">
        <w:rPr>
          <w:rFonts w:ascii="Times New Roman" w:eastAsia="Times New Roman" w:hAnsi="Times New Roman" w:cs="Times New Roman"/>
          <w:bCs/>
          <w:color w:val="auto"/>
          <w:sz w:val="20"/>
          <w:szCs w:val="18"/>
          <w:bdr w:val="none" w:sz="0" w:space="0" w:color="auto"/>
          <w:vertAlign w:val="superscript"/>
          <w:lang w:val="en-IN"/>
        </w:rPr>
        <w:t>26</w:t>
      </w:r>
      <w:r w:rsidRPr="008A0EC5">
        <w:rPr>
          <w:rFonts w:ascii="Times New Roman" w:eastAsia="Times New Roman" w:hAnsi="Times New Roman" w:cs="Times New Roman"/>
          <w:bCs/>
          <w:color w:val="auto"/>
          <w:sz w:val="20"/>
          <w:szCs w:val="18"/>
          <w:bdr w:val="none" w:sz="0" w:space="0" w:color="auto"/>
          <w:lang w:val="en-IN"/>
        </w:rPr>
        <w:t>.</w:t>
      </w:r>
    </w:p>
    <w:p w14:paraId="0732ABC8" w14:textId="77777777" w:rsidR="008A0EC5" w:rsidRPr="008A0EC5" w:rsidRDefault="008A0EC5" w:rsidP="008A0EC5">
      <w:pPr>
        <w:pStyle w:val="Body"/>
        <w:jc w:val="both"/>
        <w:rPr>
          <w:rFonts w:ascii="Times New Roman" w:eastAsia="Times New Roman" w:hAnsi="Times New Roman" w:cs="Times New Roman"/>
          <w:b/>
          <w:color w:val="auto"/>
          <w:sz w:val="20"/>
          <w:szCs w:val="18"/>
          <w:bdr w:val="none" w:sz="0" w:space="0" w:color="auto"/>
          <w:lang w:val="en-IN"/>
        </w:rPr>
      </w:pPr>
      <w:r w:rsidRPr="008A0EC5">
        <w:rPr>
          <w:rFonts w:ascii="Times New Roman" w:eastAsia="Times New Roman" w:hAnsi="Times New Roman" w:cs="Times New Roman"/>
          <w:b/>
          <w:color w:val="auto"/>
          <w:sz w:val="20"/>
          <w:szCs w:val="18"/>
          <w:bdr w:val="none" w:sz="0" w:space="0" w:color="auto"/>
          <w:lang w:val="en-IN"/>
        </w:rPr>
        <w:t>e) In Vitro Deposition Using Andersen Cascade Impactor (ACI)</w:t>
      </w:r>
    </w:p>
    <w:p w14:paraId="6A2DC2A7" w14:textId="1C1D9CA5" w:rsidR="005966D0" w:rsidRPr="008A0EC5" w:rsidRDefault="008A0EC5" w:rsidP="008A0EC5">
      <w:pPr>
        <w:pStyle w:val="Body"/>
        <w:spacing w:after="0" w:line="240" w:lineRule="auto"/>
        <w:jc w:val="both"/>
        <w:rPr>
          <w:rFonts w:ascii="Times New Roman" w:hAnsi="Times New Roman" w:cs="Times New Roman"/>
          <w:bCs/>
          <w:sz w:val="20"/>
          <w:szCs w:val="20"/>
        </w:rPr>
      </w:pPr>
      <w:r w:rsidRPr="008A0EC5">
        <w:rPr>
          <w:rFonts w:ascii="Times New Roman" w:eastAsia="Times New Roman" w:hAnsi="Times New Roman" w:cs="Times New Roman"/>
          <w:bCs/>
          <w:color w:val="auto"/>
          <w:sz w:val="20"/>
          <w:szCs w:val="18"/>
          <w:bdr w:val="none" w:sz="0" w:space="0" w:color="auto"/>
          <w:lang w:val="en-IN"/>
        </w:rPr>
        <w:t>Deposition characteristics were evaluated using an 8-stage Andersen cascade impactor (Model WP–ACISS-0289, UK) at an airflow of 60 L/min. Pre-separators were filled with 8 mL phosphate buffer (pH 7.4), and collection plates were coated with 1% (w/v) silicon oil in hexane to prevent particle rebound. Each capsule was actuated for 20 seconds to ensure complete particle release. Drug deposition in the capsule, device, mouthpiece, pre-separator, and all impactor stages was collected, extracted with buffer, and quantified via HPLC. Key deposition parameters, including total recovered dose, emitted dose, fine particle dose (FPD), fine particle fraction (FPF), and total recovery percentage, were calculated. Cefdinir calibration curve showed linearity (y = 264111, r² = 0.9996)</w:t>
      </w:r>
      <w:r w:rsidRPr="008A0EC5">
        <w:rPr>
          <w:rFonts w:ascii="Times New Roman" w:eastAsia="Times New Roman" w:hAnsi="Times New Roman" w:cs="Times New Roman"/>
          <w:bCs/>
          <w:color w:val="auto"/>
          <w:sz w:val="20"/>
          <w:szCs w:val="18"/>
          <w:bdr w:val="none" w:sz="0" w:space="0" w:color="auto"/>
          <w:vertAlign w:val="superscript"/>
          <w:lang w:val="en-IN"/>
        </w:rPr>
        <w:t>27</w:t>
      </w:r>
      <w:r>
        <w:rPr>
          <w:rFonts w:ascii="Times New Roman" w:eastAsia="Times New Roman" w:hAnsi="Times New Roman" w:cs="Times New Roman"/>
          <w:bCs/>
          <w:color w:val="auto"/>
          <w:sz w:val="20"/>
          <w:szCs w:val="18"/>
          <w:bdr w:val="none" w:sz="0" w:space="0" w:color="auto"/>
          <w:lang w:val="en-IN"/>
        </w:rPr>
        <w:t>.</w:t>
      </w:r>
    </w:p>
    <w:p w14:paraId="7891746E" w14:textId="77777777" w:rsidR="005966D0" w:rsidRPr="00E44753" w:rsidRDefault="005966D0" w:rsidP="00E44753">
      <w:pPr>
        <w:jc w:val="both"/>
        <w:rPr>
          <w:sz w:val="20"/>
          <w:szCs w:val="20"/>
        </w:rPr>
      </w:pPr>
    </w:p>
    <w:p w14:paraId="7F2C9226" w14:textId="77789196" w:rsidR="00225D4A" w:rsidRDefault="00CA55D9" w:rsidP="00E44753">
      <w:pPr>
        <w:pStyle w:val="Body"/>
        <w:spacing w:after="0" w:line="240" w:lineRule="auto"/>
        <w:jc w:val="both"/>
        <w:rPr>
          <w:rFonts w:ascii="Times New Roman" w:hAnsi="Times New Roman" w:cs="Times New Roman"/>
          <w:bCs/>
          <w:szCs w:val="20"/>
        </w:rPr>
      </w:pPr>
      <w:r w:rsidRPr="00277ED3">
        <w:rPr>
          <w:rFonts w:ascii="Times New Roman" w:hAnsi="Times New Roman" w:cs="Times New Roman"/>
          <w:b/>
          <w:bCs/>
          <w:szCs w:val="20"/>
        </w:rPr>
        <w:t>RESULT</w:t>
      </w:r>
      <w:r w:rsidRPr="00661DF9">
        <w:rPr>
          <w:rFonts w:ascii="Source Sans Pro" w:hAnsi="Source Sans Pro" w:cs="Times New Roman"/>
          <w:b/>
          <w:i/>
          <w:iCs/>
          <w:color w:val="ED7D31" w:themeColor="accent2"/>
          <w:sz w:val="20"/>
          <w:szCs w:val="18"/>
        </w:rPr>
        <w:t xml:space="preserve"> (</w:t>
      </w:r>
      <w:r w:rsidR="00661DF9" w:rsidRPr="00661DF9">
        <w:rPr>
          <w:rFonts w:ascii="Source Sans Pro" w:hAnsi="Source Sans Pro" w:cs="Times New Roman"/>
          <w:b/>
          <w:i/>
          <w:iCs/>
          <w:color w:val="ED7D31" w:themeColor="accent2"/>
          <w:sz w:val="20"/>
          <w:szCs w:val="18"/>
        </w:rPr>
        <w:t>Times New Roman front 11 Bold Capital)</w:t>
      </w:r>
      <w:r w:rsidR="00741ACD" w:rsidRPr="00277ED3">
        <w:rPr>
          <w:rFonts w:ascii="Times New Roman" w:hAnsi="Times New Roman" w:cs="Times New Roman"/>
          <w:b/>
          <w:bCs/>
          <w:szCs w:val="20"/>
        </w:rPr>
        <w:t>:</w:t>
      </w:r>
    </w:p>
    <w:p w14:paraId="6E126DC5" w14:textId="77777777" w:rsidR="008A0EC5" w:rsidRPr="00277ED3" w:rsidRDefault="008A0EC5" w:rsidP="00E44753">
      <w:pPr>
        <w:pStyle w:val="Body"/>
        <w:spacing w:after="0" w:line="240" w:lineRule="auto"/>
        <w:jc w:val="both"/>
        <w:rPr>
          <w:rFonts w:ascii="Times New Roman" w:hAnsi="Times New Roman" w:cs="Times New Roman"/>
          <w:b/>
          <w:bCs/>
          <w:szCs w:val="20"/>
        </w:rPr>
      </w:pPr>
    </w:p>
    <w:p w14:paraId="6BEFB51C" w14:textId="77777777" w:rsidR="007D4DCB" w:rsidRDefault="007D4DCB" w:rsidP="00E44753">
      <w:pPr>
        <w:pStyle w:val="Body"/>
        <w:spacing w:after="0" w:line="240" w:lineRule="auto"/>
        <w:jc w:val="both"/>
        <w:rPr>
          <w:rFonts w:ascii="Times New Roman" w:eastAsia="Times New Roman" w:hAnsi="Times New Roman" w:cs="Times New Roman"/>
          <w:b/>
          <w:bCs/>
          <w:sz w:val="20"/>
          <w:szCs w:val="18"/>
        </w:rPr>
      </w:pPr>
      <w:r w:rsidRPr="00277ED3">
        <w:rPr>
          <w:rFonts w:ascii="Times New Roman" w:eastAsia="Times New Roman" w:hAnsi="Times New Roman" w:cs="Times New Roman"/>
          <w:b/>
          <w:bCs/>
          <w:sz w:val="20"/>
          <w:szCs w:val="18"/>
        </w:rPr>
        <w:t xml:space="preserve">Functionalization of CNTs </w:t>
      </w:r>
      <w:r w:rsidR="007B6131" w:rsidRPr="00277ED3">
        <w:rPr>
          <w:rFonts w:ascii="Times New Roman" w:eastAsia="Times New Roman" w:hAnsi="Times New Roman" w:cs="Times New Roman"/>
          <w:b/>
          <w:bCs/>
          <w:sz w:val="20"/>
          <w:szCs w:val="18"/>
        </w:rPr>
        <w:t>and drug loading</w:t>
      </w:r>
    </w:p>
    <w:p w14:paraId="7CC62362" w14:textId="77777777" w:rsidR="008A0EC5" w:rsidRPr="00277ED3" w:rsidRDefault="008A0EC5" w:rsidP="00E44753">
      <w:pPr>
        <w:pStyle w:val="Body"/>
        <w:spacing w:after="0" w:line="240" w:lineRule="auto"/>
        <w:jc w:val="both"/>
        <w:rPr>
          <w:rFonts w:ascii="Times New Roman" w:eastAsia="Times New Roman" w:hAnsi="Times New Roman" w:cs="Times New Roman"/>
          <w:b/>
          <w:bCs/>
          <w:sz w:val="20"/>
          <w:szCs w:val="18"/>
        </w:rPr>
      </w:pPr>
    </w:p>
    <w:p w14:paraId="410F7673" w14:textId="6644F023" w:rsidR="00741ACD" w:rsidRDefault="008A0EC5" w:rsidP="00E44753">
      <w:pPr>
        <w:jc w:val="both"/>
        <w:rPr>
          <w:bCs/>
          <w:color w:val="000000"/>
          <w:sz w:val="20"/>
          <w:szCs w:val="20"/>
          <w:u w:color="000000"/>
          <w:bdr w:val="nil"/>
          <w:lang w:val="en-US"/>
        </w:rPr>
      </w:pPr>
      <w:r w:rsidRPr="008A0EC5">
        <w:rPr>
          <w:bCs/>
          <w:color w:val="000000"/>
          <w:sz w:val="20"/>
          <w:szCs w:val="20"/>
          <w:u w:color="000000"/>
          <w:bdr w:val="nil"/>
          <w:lang w:val="en-US"/>
        </w:rPr>
        <w:t>The raw MWCNTs were first oxidized by treatment with a mixture of ammonium hydroxide and hydrogen peroxide, followed by carboxylation using hydrochloric acid. This HCl treatment enabled the formation of covalently functionalized MWCNTs, which were subsequently characterized using analytical techniques.</w:t>
      </w:r>
    </w:p>
    <w:p w14:paraId="6413648C" w14:textId="77777777" w:rsidR="008A0EC5" w:rsidRPr="00E44753" w:rsidRDefault="008A0EC5" w:rsidP="00E44753">
      <w:pPr>
        <w:jc w:val="both"/>
        <w:rPr>
          <w:b/>
          <w:sz w:val="22"/>
          <w:szCs w:val="20"/>
        </w:rPr>
      </w:pPr>
    </w:p>
    <w:p w14:paraId="093FEEC0" w14:textId="77777777" w:rsidR="00225D4A" w:rsidRPr="00E44753" w:rsidRDefault="00225D4A" w:rsidP="00E44753">
      <w:pPr>
        <w:jc w:val="both"/>
        <w:rPr>
          <w:b/>
          <w:sz w:val="20"/>
          <w:szCs w:val="18"/>
        </w:rPr>
      </w:pPr>
      <w:r w:rsidRPr="00E44753">
        <w:rPr>
          <w:b/>
          <w:sz w:val="20"/>
          <w:szCs w:val="18"/>
        </w:rPr>
        <w:t>Mass spectroscopy</w:t>
      </w:r>
    </w:p>
    <w:p w14:paraId="74B6EE79" w14:textId="79724062" w:rsidR="00225D4A" w:rsidRPr="00E44753" w:rsidRDefault="008A0EC5" w:rsidP="00E44753">
      <w:pPr>
        <w:jc w:val="both"/>
        <w:rPr>
          <w:sz w:val="20"/>
          <w:szCs w:val="20"/>
        </w:rPr>
      </w:pPr>
      <w:r w:rsidRPr="008A0EC5">
        <w:rPr>
          <w:sz w:val="20"/>
          <w:szCs w:val="20"/>
        </w:rPr>
        <w:t xml:space="preserve">In the pure MWCNT group, a mass-to-charge ratio (m/z) of 526.39 was observed, as illustrated in </w:t>
      </w:r>
      <w:r w:rsidRPr="00E44753">
        <w:rPr>
          <w:sz w:val="20"/>
          <w:szCs w:val="20"/>
        </w:rPr>
        <w:t>(figure 1)</w:t>
      </w:r>
      <w:r w:rsidRPr="008A0EC5">
        <w:rPr>
          <w:sz w:val="20"/>
          <w:szCs w:val="20"/>
        </w:rPr>
        <w:t>. In contrast, the functionalized MWCNTs exhibited an increased m/z value of 942.49, indicating successful functionalization.</w:t>
      </w:r>
      <w:r w:rsidRPr="008A0EC5">
        <w:rPr>
          <w:sz w:val="20"/>
          <w:szCs w:val="20"/>
        </w:rPr>
        <w:t xml:space="preserve"> </w:t>
      </w:r>
    </w:p>
    <w:p w14:paraId="28E7970A" w14:textId="52B30869" w:rsidR="00225D4A" w:rsidRPr="00E44753" w:rsidRDefault="00997DBA" w:rsidP="00E44753">
      <w:pPr>
        <w:jc w:val="both"/>
        <w:rPr>
          <w:b/>
          <w:i/>
          <w:sz w:val="20"/>
          <w:szCs w:val="20"/>
        </w:rPr>
      </w:pPr>
      <w:r w:rsidRPr="00997DBA">
        <w:t xml:space="preserve"> </w:t>
      </w:r>
      <w:r w:rsidR="0064719F">
        <w:rPr>
          <w:noProof/>
        </w:rPr>
        <w:drawing>
          <wp:inline distT="0" distB="0" distL="0" distR="0" wp14:anchorId="1694E198" wp14:editId="31D70647">
            <wp:extent cx="2463015" cy="2103120"/>
            <wp:effectExtent l="0" t="0" r="0" b="0"/>
            <wp:docPr id="198298358" name="Picture 5" descr="Species-specific peptide-based liquid chromatography–mass spectrometry monitoring of three poultry species in processed meat product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ecies-specific peptide-based liquid chromatography–mass spectrometry monitoring of three poultry species in processed meat products - ScienceDi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798" cy="2106350"/>
                    </a:xfrm>
                    <a:prstGeom prst="rect">
                      <a:avLst/>
                    </a:prstGeom>
                    <a:noFill/>
                    <a:ln>
                      <a:noFill/>
                    </a:ln>
                  </pic:spPr>
                </pic:pic>
              </a:graphicData>
            </a:graphic>
          </wp:inline>
        </w:drawing>
      </w:r>
    </w:p>
    <w:p w14:paraId="579A1081" w14:textId="4B1D0F36" w:rsidR="00E44753" w:rsidRPr="00E44753" w:rsidRDefault="004C7F27" w:rsidP="00E44753">
      <w:pPr>
        <w:jc w:val="both"/>
        <w:rPr>
          <w:b/>
          <w:sz w:val="20"/>
          <w:szCs w:val="20"/>
          <w:lang w:val="en-US" w:eastAsia="en-US"/>
        </w:rPr>
      </w:pPr>
      <w:r w:rsidRPr="00E44753">
        <w:rPr>
          <w:b/>
          <w:bCs/>
          <w:sz w:val="16"/>
          <w:szCs w:val="16"/>
          <w:lang w:val="en-US"/>
        </w:rPr>
        <w:t xml:space="preserve">Figure </w:t>
      </w:r>
      <w:r w:rsidR="00CA55D9" w:rsidRPr="00E44753">
        <w:rPr>
          <w:b/>
          <w:bCs/>
          <w:sz w:val="16"/>
          <w:szCs w:val="16"/>
          <w:lang w:val="en-US"/>
        </w:rPr>
        <w:t>1. Mass</w:t>
      </w:r>
      <w:r w:rsidRPr="00E44753">
        <w:rPr>
          <w:b/>
          <w:bCs/>
          <w:sz w:val="16"/>
          <w:szCs w:val="16"/>
          <w:lang w:val="en-US"/>
        </w:rPr>
        <w:t xml:space="preserve"> spectroscopy of (A) pure MWCNT &amp; (B) functionalized MWCNT.</w:t>
      </w:r>
      <w:r w:rsidR="00E44753" w:rsidRPr="00E44753">
        <w:rPr>
          <w:b/>
          <w:bCs/>
          <w:sz w:val="16"/>
          <w:szCs w:val="16"/>
          <w:lang w:val="en-US"/>
        </w:rPr>
        <w:t xml:space="preserve"> </w:t>
      </w:r>
      <w:r w:rsidR="00E44753" w:rsidRPr="00661DF9">
        <w:rPr>
          <w:rFonts w:ascii="Source Sans Pro" w:hAnsi="Source Sans Pro"/>
          <w:b/>
          <w:i/>
          <w:iCs/>
          <w:color w:val="ED7D31" w:themeColor="accent2"/>
          <w:sz w:val="20"/>
          <w:szCs w:val="18"/>
        </w:rPr>
        <w:t>(Times New Roman front 8 Bold)</w:t>
      </w:r>
    </w:p>
    <w:p w14:paraId="4C7815B4" w14:textId="77777777" w:rsidR="004C7F27" w:rsidRPr="00E44753" w:rsidRDefault="004C7F27" w:rsidP="00E44753">
      <w:pPr>
        <w:rPr>
          <w:b/>
          <w:bCs/>
          <w:sz w:val="16"/>
          <w:szCs w:val="16"/>
          <w:lang w:val="en-US"/>
        </w:rPr>
      </w:pPr>
    </w:p>
    <w:p w14:paraId="35E5895C" w14:textId="77777777" w:rsidR="004C7F27" w:rsidRPr="00E44753" w:rsidRDefault="004C7F27" w:rsidP="00E44753">
      <w:pPr>
        <w:jc w:val="both"/>
        <w:rPr>
          <w:b/>
          <w:i/>
          <w:sz w:val="20"/>
          <w:szCs w:val="20"/>
        </w:rPr>
      </w:pPr>
    </w:p>
    <w:p w14:paraId="41D368A3" w14:textId="77777777" w:rsidR="00225D4A" w:rsidRPr="00277ED3" w:rsidRDefault="00225D4A" w:rsidP="00E44753">
      <w:pPr>
        <w:pStyle w:val="Body"/>
        <w:spacing w:after="0" w:line="240" w:lineRule="auto"/>
        <w:jc w:val="both"/>
        <w:rPr>
          <w:rFonts w:ascii="Times New Roman" w:eastAsia="Times New Roman" w:hAnsi="Times New Roman" w:cs="Times New Roman"/>
          <w:b/>
          <w:bCs/>
          <w:sz w:val="20"/>
          <w:szCs w:val="20"/>
        </w:rPr>
      </w:pPr>
      <w:r w:rsidRPr="00E44753">
        <w:rPr>
          <w:rFonts w:ascii="Times New Roman" w:hAnsi="Times New Roman" w:cs="Times New Roman"/>
          <w:b/>
          <w:sz w:val="20"/>
          <w:szCs w:val="20"/>
        </w:rPr>
        <w:t>IR spectroscopy</w:t>
      </w:r>
    </w:p>
    <w:p w14:paraId="6662035D" w14:textId="77777777" w:rsidR="00225D4A" w:rsidRPr="00E44753" w:rsidRDefault="00225D4A" w:rsidP="00E44753">
      <w:pPr>
        <w:jc w:val="both"/>
        <w:rPr>
          <w:sz w:val="20"/>
          <w:szCs w:val="20"/>
        </w:rPr>
      </w:pPr>
      <w:r w:rsidRPr="00E44753">
        <w:rPr>
          <w:sz w:val="20"/>
          <w:szCs w:val="20"/>
        </w:rPr>
        <w:t xml:space="preserve">The pure MWCNT has no obvious characteristic absorption peaks. The spectra of FMWCNT indicated intensive bands at ideal wavelengths shown in </w:t>
      </w:r>
      <w:r w:rsidR="008C19E7" w:rsidRPr="00E44753">
        <w:rPr>
          <w:sz w:val="20"/>
          <w:szCs w:val="20"/>
        </w:rPr>
        <w:t>(</w:t>
      </w:r>
      <w:r w:rsidR="00C460C0" w:rsidRPr="00E44753">
        <w:rPr>
          <w:sz w:val="20"/>
          <w:szCs w:val="20"/>
        </w:rPr>
        <w:t>figure 2</w:t>
      </w:r>
      <w:r w:rsidR="008C19E7" w:rsidRPr="00E44753">
        <w:rPr>
          <w:sz w:val="20"/>
          <w:szCs w:val="20"/>
        </w:rPr>
        <w:t>)</w:t>
      </w:r>
      <w:r w:rsidRPr="00E44753">
        <w:rPr>
          <w:sz w:val="20"/>
          <w:szCs w:val="20"/>
        </w:rPr>
        <w:t>.</w:t>
      </w:r>
    </w:p>
    <w:p w14:paraId="5927F1EE" w14:textId="117014DD" w:rsidR="004251E2" w:rsidRPr="00E44753" w:rsidRDefault="0064719F" w:rsidP="00E44753">
      <w:pPr>
        <w:jc w:val="both"/>
        <w:rPr>
          <w:sz w:val="20"/>
          <w:szCs w:val="20"/>
        </w:rPr>
      </w:pPr>
      <w:r>
        <w:rPr>
          <w:noProof/>
        </w:rPr>
        <w:drawing>
          <wp:inline distT="0" distB="0" distL="0" distR="0" wp14:anchorId="18ECAF2E" wp14:editId="1879BDB9">
            <wp:extent cx="2514600" cy="1816100"/>
            <wp:effectExtent l="0" t="0" r="0" b="0"/>
            <wp:docPr id="18594275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816100"/>
                    </a:xfrm>
                    <a:prstGeom prst="rect">
                      <a:avLst/>
                    </a:prstGeom>
                    <a:noFill/>
                    <a:ln>
                      <a:noFill/>
                    </a:ln>
                  </pic:spPr>
                </pic:pic>
              </a:graphicData>
            </a:graphic>
          </wp:inline>
        </w:drawing>
      </w:r>
    </w:p>
    <w:p w14:paraId="7FE3973D" w14:textId="4FFFF272" w:rsidR="004251E2" w:rsidRPr="00E44753" w:rsidRDefault="004251E2" w:rsidP="00661DF9">
      <w:pPr>
        <w:rPr>
          <w:sz w:val="20"/>
          <w:szCs w:val="20"/>
        </w:rPr>
      </w:pPr>
      <w:r w:rsidRPr="00E44753">
        <w:rPr>
          <w:b/>
          <w:bCs/>
          <w:sz w:val="16"/>
          <w:szCs w:val="16"/>
          <w:lang w:val="en-US"/>
        </w:rPr>
        <w:t>Figure 2.</w:t>
      </w:r>
      <w:r w:rsidR="00C460C0" w:rsidRPr="00E44753">
        <w:rPr>
          <w:b/>
          <w:bCs/>
          <w:sz w:val="16"/>
          <w:szCs w:val="16"/>
          <w:lang w:val="en-US"/>
        </w:rPr>
        <w:t>IR</w:t>
      </w:r>
      <w:r w:rsidRPr="00E44753">
        <w:rPr>
          <w:b/>
          <w:bCs/>
          <w:sz w:val="16"/>
          <w:szCs w:val="16"/>
          <w:lang w:val="en-US"/>
        </w:rPr>
        <w:t xml:space="preserve"> spectroscopy of (A)</w:t>
      </w:r>
      <w:r w:rsidR="0064719F" w:rsidRPr="0064719F">
        <w:rPr>
          <w:b/>
          <w:bCs/>
          <w:sz w:val="16"/>
          <w:szCs w:val="16"/>
          <w:lang w:val="en-US"/>
        </w:rPr>
        <w:t xml:space="preserve"> pure MWCNT &amp; (B) functionalized MWCNT.</w:t>
      </w:r>
      <w:r w:rsidR="00E44753" w:rsidRPr="00E44753">
        <w:rPr>
          <w:b/>
          <w:bCs/>
          <w:sz w:val="16"/>
          <w:szCs w:val="16"/>
          <w:lang w:val="en-US"/>
        </w:rPr>
        <w:t xml:space="preserve"> </w:t>
      </w:r>
      <w:r w:rsidR="00661DF9" w:rsidRPr="00661DF9">
        <w:rPr>
          <w:rFonts w:ascii="Source Sans Pro" w:hAnsi="Source Sans Pro"/>
          <w:b/>
          <w:i/>
          <w:iCs/>
          <w:color w:val="ED7D31" w:themeColor="accent2"/>
          <w:sz w:val="20"/>
          <w:szCs w:val="18"/>
        </w:rPr>
        <w:t>(Times New Roman front 8 Bold)</w:t>
      </w:r>
    </w:p>
    <w:p w14:paraId="592DFD90" w14:textId="77777777" w:rsidR="00225D4A" w:rsidRPr="00277ED3" w:rsidRDefault="00205717" w:rsidP="00E44753">
      <w:pPr>
        <w:pStyle w:val="Body"/>
        <w:spacing w:after="0" w:line="240" w:lineRule="auto"/>
        <w:jc w:val="both"/>
        <w:rPr>
          <w:rFonts w:ascii="Times New Roman" w:hAnsi="Times New Roman" w:cs="Times New Roman"/>
          <w:b/>
          <w:sz w:val="20"/>
          <w:szCs w:val="20"/>
        </w:rPr>
      </w:pPr>
      <w:r w:rsidRPr="00277ED3">
        <w:rPr>
          <w:rFonts w:ascii="Times New Roman" w:hAnsi="Times New Roman" w:cs="Times New Roman"/>
          <w:b/>
          <w:sz w:val="20"/>
          <w:szCs w:val="20"/>
        </w:rPr>
        <w:lastRenderedPageBreak/>
        <w:t>Formulation of cefdinir loaded dry powder inhaler</w:t>
      </w:r>
    </w:p>
    <w:p w14:paraId="546567A3" w14:textId="77777777" w:rsidR="00205717" w:rsidRPr="00E44753" w:rsidRDefault="00205717" w:rsidP="00E44753">
      <w:pPr>
        <w:rPr>
          <w:sz w:val="20"/>
          <w:szCs w:val="20"/>
        </w:rPr>
      </w:pPr>
      <w:r w:rsidRPr="00E44753">
        <w:rPr>
          <w:sz w:val="20"/>
          <w:szCs w:val="20"/>
        </w:rPr>
        <w:t xml:space="preserve">Cefdinir was loaded using a slight modification in the Wetness Impregnation method. </w:t>
      </w:r>
    </w:p>
    <w:p w14:paraId="5145A863" w14:textId="77777777" w:rsidR="00205717" w:rsidRPr="00E44753" w:rsidRDefault="00205717" w:rsidP="00E44753">
      <w:pPr>
        <w:jc w:val="both"/>
        <w:rPr>
          <w:sz w:val="20"/>
          <w:szCs w:val="20"/>
        </w:rPr>
      </w:pPr>
      <w:r w:rsidRPr="00E44753">
        <w:rPr>
          <w:sz w:val="20"/>
          <w:szCs w:val="20"/>
        </w:rPr>
        <w:t>The obtained microparticles suspension was lyophilized using mannitol (2.5% w/v) as a cryoprotectant to get cefdinir loaded FMWCNT carrier-based DPI</w:t>
      </w:r>
      <w:r w:rsidR="008665D5" w:rsidRPr="00E44753">
        <w:rPr>
          <w:sz w:val="20"/>
          <w:szCs w:val="20"/>
        </w:rPr>
        <w:fldChar w:fldCharType="begin"/>
      </w:r>
      <w:r w:rsidRPr="00E44753">
        <w:rPr>
          <w:sz w:val="20"/>
          <w:szCs w:val="20"/>
        </w:rPr>
        <w:instrText xml:space="preserve"> ADDIN ZOTERO_ITEM CSL_CITATION {"citationID":"rq57ZKSi","properties":{"formattedCitation":"(21)","plainCitation":"(21)","noteIndex":0},"citationItems":[{"id":1496,"uris":["http://zotero.org/users/local/on014HYB/items/YWTE538B"],"uri":["http://zotero.org/users/local/on014HYB/items/YWTE538B"],"itemData":{"id":1496,"type":"article-journal","container-title":"Applied Surface Science","issue":"13","note":"publisher: Elsevier","page":"5663–5670","source":"Google Scholar","title":"Functional and unmodified MWNTs for delivery of the water-insoluble drug Carvedilol–A drug-loading mechanism","volume":"257","author":[{"family":"Li","given":"Yuting"},{"family":"Wang","given":"Tianyi"},{"family":"Wang","given":"Jing"},{"family":"Jiang","given":"Tongying"},{"family":"Cheng","given":"Gang"},{"family":"Wang","given":"Siling"}],"issued":{"date-parts":[["2011"]]}}}],"schema":"https://github.com/citation-style-language/schema/raw/master/csl-citation.json"} </w:instrText>
      </w:r>
      <w:r w:rsidR="008665D5" w:rsidRPr="00E44753">
        <w:rPr>
          <w:sz w:val="20"/>
          <w:szCs w:val="20"/>
        </w:rPr>
        <w:fldChar w:fldCharType="separate"/>
      </w:r>
      <w:r w:rsidRPr="00E44753">
        <w:rPr>
          <w:sz w:val="20"/>
          <w:szCs w:val="20"/>
          <w:vertAlign w:val="superscript"/>
        </w:rPr>
        <w:t>18</w:t>
      </w:r>
      <w:r w:rsidR="008665D5" w:rsidRPr="00E44753">
        <w:rPr>
          <w:sz w:val="20"/>
          <w:szCs w:val="20"/>
        </w:rPr>
        <w:fldChar w:fldCharType="end"/>
      </w:r>
      <w:r w:rsidRPr="00E44753">
        <w:rPr>
          <w:sz w:val="20"/>
          <w:szCs w:val="20"/>
        </w:rPr>
        <w:t>.</w:t>
      </w:r>
    </w:p>
    <w:p w14:paraId="7859C570" w14:textId="77777777" w:rsidR="00205717" w:rsidRPr="00277ED3" w:rsidRDefault="00205717" w:rsidP="00E44753">
      <w:pPr>
        <w:pStyle w:val="Body"/>
        <w:spacing w:after="0" w:line="240" w:lineRule="auto"/>
        <w:jc w:val="both"/>
        <w:rPr>
          <w:rFonts w:ascii="Times New Roman" w:hAnsi="Times New Roman" w:cs="Times New Roman"/>
          <w:b/>
          <w:sz w:val="20"/>
          <w:szCs w:val="20"/>
        </w:rPr>
      </w:pPr>
    </w:p>
    <w:p w14:paraId="26F853F9" w14:textId="77777777" w:rsidR="00225D4A" w:rsidRPr="00E44753" w:rsidRDefault="00225D4A" w:rsidP="00E44753">
      <w:pPr>
        <w:jc w:val="both"/>
        <w:rPr>
          <w:b/>
          <w:i/>
          <w:sz w:val="20"/>
          <w:szCs w:val="20"/>
        </w:rPr>
      </w:pPr>
      <w:r w:rsidRPr="00E44753">
        <w:rPr>
          <w:b/>
          <w:sz w:val="20"/>
          <w:szCs w:val="20"/>
        </w:rPr>
        <w:t>SEM study</w:t>
      </w:r>
    </w:p>
    <w:p w14:paraId="1FBA3BB8" w14:textId="77777777" w:rsidR="00225D4A" w:rsidRPr="00E44753" w:rsidRDefault="00225D4A" w:rsidP="00E44753">
      <w:pPr>
        <w:jc w:val="both"/>
        <w:rPr>
          <w:sz w:val="20"/>
          <w:szCs w:val="20"/>
        </w:rPr>
      </w:pPr>
      <w:r w:rsidRPr="00E44753">
        <w:rPr>
          <w:sz w:val="20"/>
          <w:szCs w:val="20"/>
        </w:rPr>
        <w:t xml:space="preserve">The SEM image of cefdinir loaded FMWCNT has indicated flight like nature as shown in </w:t>
      </w:r>
      <w:r w:rsidR="00CC52C2" w:rsidRPr="00E44753">
        <w:rPr>
          <w:sz w:val="20"/>
          <w:szCs w:val="20"/>
        </w:rPr>
        <w:t>(</w:t>
      </w:r>
      <w:r w:rsidR="00453655" w:rsidRPr="00E44753">
        <w:rPr>
          <w:b/>
          <w:sz w:val="20"/>
          <w:szCs w:val="20"/>
        </w:rPr>
        <w:t>figure 3</w:t>
      </w:r>
      <w:r w:rsidR="00CC52C2" w:rsidRPr="00E44753">
        <w:rPr>
          <w:sz w:val="20"/>
          <w:szCs w:val="20"/>
        </w:rPr>
        <w:t>)</w:t>
      </w:r>
      <w:r w:rsidRPr="00E44753">
        <w:rPr>
          <w:sz w:val="20"/>
          <w:szCs w:val="20"/>
        </w:rPr>
        <w:t>. The flight like surface which increases the formulation fluidization and deep lung deposition.  Whereas in the case of FMWCNT study, there was a clear surface  The difference observed might be due to the cefdinir loading in the surface seen</w:t>
      </w:r>
      <w:r w:rsidR="008665D5" w:rsidRPr="00E44753">
        <w:rPr>
          <w:sz w:val="20"/>
          <w:szCs w:val="20"/>
        </w:rPr>
        <w:fldChar w:fldCharType="begin"/>
      </w:r>
      <w:r w:rsidRPr="00E44753">
        <w:rPr>
          <w:sz w:val="20"/>
          <w:szCs w:val="20"/>
        </w:rPr>
        <w:instrText xml:space="preserve"> ADDIN ZOTERO_ITEM CSL_CITATION {"citationID":"WU7P8alR","properties":{"formattedCitation":"(38)","plainCitation":"(38)","noteIndex":0},"citationItems":[{"id":1596,"uris":["http://zotero.org/users/local/on014HYB/items/YEAAK8QE"],"uri":["http://zotero.org/users/local/on014HYB/items/YEAAK8QE"],"itemData":{"id":1596,"type":"article-journal","container-title":"Powder technology","note":"publisher: Elsevier","page":"65–70","source":"Google Scholar","title":"Development of chitosan-based nanoparticles for pulmonary delivery of itraconazole as dry powder formulation","volume":"222","author":[{"family":"Jafarinejad","given":"Somayeh"},{"family":"Gilani","given":"Kambiz"},{"family":"Moazeni","given":"Esmaeil"},{"family":"Ghazi-Khansari","given":"Mahmoud"},{"family":"Najafabadi","given":"Abdolhossein Rouholamini"},{"family":"Mohajel","given":"Nasir"}],"issued":{"date-parts":[["2012"]]}}}],"schema":"https://github.com/citation-style-language/schema/raw/master/csl-citation.json"} </w:instrText>
      </w:r>
      <w:r w:rsidR="008665D5" w:rsidRPr="00E44753">
        <w:rPr>
          <w:sz w:val="20"/>
          <w:szCs w:val="20"/>
        </w:rPr>
        <w:fldChar w:fldCharType="separate"/>
      </w:r>
      <w:r w:rsidRPr="00E44753">
        <w:rPr>
          <w:sz w:val="20"/>
          <w:szCs w:val="20"/>
          <w:vertAlign w:val="superscript"/>
        </w:rPr>
        <w:t>30</w:t>
      </w:r>
      <w:r w:rsidR="008665D5" w:rsidRPr="00E44753">
        <w:rPr>
          <w:sz w:val="20"/>
          <w:szCs w:val="20"/>
        </w:rPr>
        <w:fldChar w:fldCharType="end"/>
      </w:r>
      <w:r w:rsidRPr="00E44753">
        <w:rPr>
          <w:sz w:val="20"/>
          <w:szCs w:val="20"/>
        </w:rPr>
        <w:t xml:space="preserve">. </w:t>
      </w:r>
    </w:p>
    <w:p w14:paraId="4691C787" w14:textId="019CCF4F" w:rsidR="00453655" w:rsidRPr="00E44753" w:rsidRDefault="00997DBA" w:rsidP="00E44753">
      <w:pPr>
        <w:rPr>
          <w:sz w:val="20"/>
          <w:szCs w:val="20"/>
          <w:lang w:val="en-US"/>
        </w:rPr>
      </w:pPr>
      <w:r w:rsidRPr="00997DBA">
        <w:t xml:space="preserve"> </w:t>
      </w:r>
      <w:r>
        <w:rPr>
          <w:noProof/>
        </w:rPr>
        <w:drawing>
          <wp:inline distT="0" distB="0" distL="0" distR="0" wp14:anchorId="0917F5EA" wp14:editId="3BB535A0">
            <wp:extent cx="2773831" cy="1625600"/>
            <wp:effectExtent l="0" t="0" r="7620" b="0"/>
            <wp:docPr id="121431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2221" t="6046" r="32558" b="13954"/>
                    <a:stretch>
                      <a:fillRect/>
                    </a:stretch>
                  </pic:blipFill>
                  <pic:spPr bwMode="auto">
                    <a:xfrm>
                      <a:off x="0" y="0"/>
                      <a:ext cx="2781680" cy="1630200"/>
                    </a:xfrm>
                    <a:prstGeom prst="rect">
                      <a:avLst/>
                    </a:prstGeom>
                    <a:noFill/>
                    <a:ln>
                      <a:noFill/>
                    </a:ln>
                    <a:effectLst>
                      <a:glow>
                        <a:srgbClr val="4472C4">
                          <a:alpha val="40000"/>
                        </a:srgbClr>
                      </a:glow>
                    </a:effectLst>
                    <a:extLst>
                      <a:ext uri="{53640926-AAD7-44D8-BBD7-CCE9431645EC}">
                        <a14:shadowObscured xmlns:a14="http://schemas.microsoft.com/office/drawing/2010/main"/>
                      </a:ext>
                    </a:extLst>
                  </pic:spPr>
                </pic:pic>
              </a:graphicData>
            </a:graphic>
          </wp:inline>
        </w:drawing>
      </w:r>
    </w:p>
    <w:p w14:paraId="61A05D08" w14:textId="2CFDFB26" w:rsidR="00453655" w:rsidRPr="00E44753" w:rsidRDefault="00453655" w:rsidP="00E44753">
      <w:pPr>
        <w:rPr>
          <w:b/>
          <w:bCs/>
          <w:sz w:val="16"/>
          <w:szCs w:val="16"/>
          <w:lang w:val="en-US"/>
        </w:rPr>
      </w:pPr>
      <w:r w:rsidRPr="00E44753">
        <w:rPr>
          <w:b/>
          <w:bCs/>
          <w:sz w:val="16"/>
          <w:szCs w:val="16"/>
          <w:lang w:val="en-US"/>
        </w:rPr>
        <w:t>Figure 3. SEM image A) cefdinir loaded FMWCNT B) FMWCNT.</w:t>
      </w:r>
      <w:r w:rsidR="00E44753" w:rsidRPr="00E44753">
        <w:rPr>
          <w:b/>
          <w:bCs/>
          <w:sz w:val="16"/>
          <w:szCs w:val="16"/>
          <w:lang w:val="en-US"/>
        </w:rPr>
        <w:t xml:space="preserve"> </w:t>
      </w:r>
      <w:r w:rsidR="00661DF9" w:rsidRPr="00661DF9">
        <w:rPr>
          <w:rFonts w:ascii="Source Sans Pro" w:hAnsi="Source Sans Pro"/>
          <w:b/>
          <w:i/>
          <w:iCs/>
          <w:color w:val="ED7D31" w:themeColor="accent2"/>
          <w:sz w:val="20"/>
          <w:szCs w:val="18"/>
        </w:rPr>
        <w:t>(Times New Roman front 8 Bold)</w:t>
      </w:r>
    </w:p>
    <w:p w14:paraId="601DF7B0" w14:textId="77777777" w:rsidR="00E44753" w:rsidRDefault="00E44753" w:rsidP="00E44753">
      <w:pPr>
        <w:jc w:val="both"/>
        <w:rPr>
          <w:b/>
          <w:sz w:val="20"/>
          <w:szCs w:val="20"/>
        </w:rPr>
      </w:pPr>
    </w:p>
    <w:p w14:paraId="78B3F779" w14:textId="77777777" w:rsidR="00E44753" w:rsidRDefault="00E44753" w:rsidP="00E44753">
      <w:pPr>
        <w:jc w:val="both"/>
        <w:rPr>
          <w:b/>
          <w:sz w:val="20"/>
          <w:szCs w:val="20"/>
        </w:rPr>
      </w:pPr>
    </w:p>
    <w:p w14:paraId="2B29C350" w14:textId="335760C8" w:rsidR="00225D4A" w:rsidRPr="00E44753" w:rsidRDefault="00313E47" w:rsidP="00E44753">
      <w:pPr>
        <w:jc w:val="both"/>
        <w:rPr>
          <w:b/>
          <w:sz w:val="20"/>
          <w:szCs w:val="20"/>
        </w:rPr>
      </w:pPr>
      <w:r w:rsidRPr="00E44753">
        <w:rPr>
          <w:b/>
          <w:sz w:val="20"/>
          <w:szCs w:val="20"/>
        </w:rPr>
        <w:t>Characterization of cefdinir loaded FMWCNTs based DPI</w:t>
      </w:r>
      <w:r w:rsidR="00CA55D9">
        <w:rPr>
          <w:b/>
          <w:sz w:val="20"/>
          <w:szCs w:val="20"/>
        </w:rPr>
        <w:t xml:space="preserve"> </w:t>
      </w:r>
      <w:r w:rsidR="00225D4A" w:rsidRPr="00E44753">
        <w:rPr>
          <w:b/>
          <w:sz w:val="20"/>
          <w:szCs w:val="20"/>
        </w:rPr>
        <w:t>Entrapment efficiency</w:t>
      </w:r>
    </w:p>
    <w:p w14:paraId="7C368C55" w14:textId="77777777" w:rsidR="00225D4A" w:rsidRPr="00E44753" w:rsidRDefault="00225D4A" w:rsidP="00E44753">
      <w:pPr>
        <w:jc w:val="both"/>
        <w:rPr>
          <w:sz w:val="20"/>
          <w:szCs w:val="20"/>
        </w:rPr>
      </w:pPr>
      <w:r w:rsidRPr="00E44753">
        <w:rPr>
          <w:sz w:val="20"/>
          <w:szCs w:val="20"/>
        </w:rPr>
        <w:t>Encapsulation efficiency for FMWCNT was 79.73% and for C-CEF-DPI it was a little less than theoretical i.e. 98.08%.</w:t>
      </w:r>
    </w:p>
    <w:p w14:paraId="53B28287" w14:textId="77777777" w:rsidR="00E44753" w:rsidRPr="00277ED3" w:rsidRDefault="00E44753" w:rsidP="00E44753">
      <w:pPr>
        <w:jc w:val="both"/>
        <w:rPr>
          <w:b/>
          <w:bCs/>
          <w:color w:val="000000"/>
          <w:sz w:val="20"/>
          <w:szCs w:val="20"/>
        </w:rPr>
      </w:pPr>
    </w:p>
    <w:p w14:paraId="02465362" w14:textId="77777777" w:rsidR="00277ED3" w:rsidRPr="00277ED3" w:rsidRDefault="00277ED3" w:rsidP="00E44753">
      <w:pPr>
        <w:jc w:val="both"/>
        <w:rPr>
          <w:b/>
          <w:bCs/>
          <w:color w:val="000000"/>
          <w:sz w:val="20"/>
          <w:szCs w:val="20"/>
        </w:rPr>
      </w:pPr>
    </w:p>
    <w:p w14:paraId="5EF97E03" w14:textId="77777777" w:rsidR="00225D4A" w:rsidRPr="00E44753" w:rsidRDefault="00225D4A" w:rsidP="00E44753">
      <w:pPr>
        <w:jc w:val="both"/>
        <w:rPr>
          <w:b/>
          <w:i/>
          <w:sz w:val="20"/>
          <w:szCs w:val="20"/>
        </w:rPr>
      </w:pPr>
      <w:r w:rsidRPr="00E44753">
        <w:rPr>
          <w:b/>
          <w:sz w:val="20"/>
          <w:szCs w:val="20"/>
        </w:rPr>
        <w:t>Flow properties</w:t>
      </w:r>
    </w:p>
    <w:p w14:paraId="246427C3" w14:textId="77777777" w:rsidR="00225D4A" w:rsidRPr="00E44753" w:rsidRDefault="00225D4A" w:rsidP="00E44753">
      <w:pPr>
        <w:jc w:val="both"/>
        <w:rPr>
          <w:sz w:val="20"/>
          <w:szCs w:val="20"/>
        </w:rPr>
      </w:pPr>
      <w:r w:rsidRPr="00E44753">
        <w:rPr>
          <w:sz w:val="20"/>
          <w:szCs w:val="20"/>
        </w:rPr>
        <w:t xml:space="preserve">The powder has shown better angle of response which was 23±4.20°C (excellent), </w:t>
      </w:r>
      <w:proofErr w:type="spellStart"/>
      <w:r w:rsidRPr="00E44753">
        <w:rPr>
          <w:sz w:val="20"/>
          <w:szCs w:val="20"/>
        </w:rPr>
        <w:t>carr's</w:t>
      </w:r>
      <w:proofErr w:type="spellEnd"/>
      <w:r w:rsidRPr="00E44753">
        <w:rPr>
          <w:sz w:val="20"/>
          <w:szCs w:val="20"/>
        </w:rPr>
        <w:t xml:space="preserve"> index of 0.201±0.06 (g/cm</w:t>
      </w:r>
      <w:r w:rsidRPr="00E44753">
        <w:rPr>
          <w:sz w:val="20"/>
          <w:szCs w:val="20"/>
          <w:vertAlign w:val="superscript"/>
        </w:rPr>
        <w:t>3</w:t>
      </w:r>
      <w:r w:rsidRPr="00E44753">
        <w:rPr>
          <w:sz w:val="20"/>
          <w:szCs w:val="20"/>
        </w:rPr>
        <w:t xml:space="preserve">), and tapped density was 20.38±3.15 (below 15 % is considered as a poor stream), bulk density, and </w:t>
      </w:r>
      <w:proofErr w:type="spellStart"/>
      <w:r w:rsidRPr="00E44753">
        <w:rPr>
          <w:sz w:val="20"/>
          <w:szCs w:val="20"/>
        </w:rPr>
        <w:t>hausner's</w:t>
      </w:r>
      <w:proofErr w:type="spellEnd"/>
      <w:r w:rsidRPr="00E44753">
        <w:rPr>
          <w:sz w:val="20"/>
          <w:szCs w:val="20"/>
        </w:rPr>
        <w:t xml:space="preserve"> ratio of 0.204±0.05 (g/cm</w:t>
      </w:r>
      <w:r w:rsidRPr="00E44753">
        <w:rPr>
          <w:sz w:val="20"/>
          <w:szCs w:val="20"/>
          <w:vertAlign w:val="superscript"/>
        </w:rPr>
        <w:t>3</w:t>
      </w:r>
      <w:r w:rsidRPr="00E44753">
        <w:rPr>
          <w:sz w:val="20"/>
          <w:szCs w:val="20"/>
        </w:rPr>
        <w:t>), and 1.13 ± 3.15 (Below 1.25 Hausner's ratio shows the best flow characteristics than the greater one) which proved its acceptability as a carrier.</w:t>
      </w:r>
    </w:p>
    <w:p w14:paraId="3156392F" w14:textId="77777777" w:rsidR="00E44753" w:rsidRPr="00277ED3" w:rsidRDefault="00E44753" w:rsidP="00E44753">
      <w:pPr>
        <w:jc w:val="both"/>
        <w:rPr>
          <w:b/>
          <w:bCs/>
          <w:color w:val="000000"/>
          <w:sz w:val="20"/>
          <w:szCs w:val="20"/>
        </w:rPr>
      </w:pPr>
    </w:p>
    <w:p w14:paraId="53DC95A4" w14:textId="77777777" w:rsidR="00225D4A" w:rsidRPr="00E44753" w:rsidRDefault="00225D4A" w:rsidP="00E44753">
      <w:pPr>
        <w:jc w:val="both"/>
        <w:rPr>
          <w:b/>
          <w:sz w:val="20"/>
          <w:szCs w:val="20"/>
        </w:rPr>
      </w:pPr>
      <w:r w:rsidRPr="00E44753">
        <w:rPr>
          <w:b/>
          <w:sz w:val="20"/>
          <w:szCs w:val="20"/>
        </w:rPr>
        <w:t>Drug content</w:t>
      </w:r>
    </w:p>
    <w:p w14:paraId="50659F0D" w14:textId="77777777" w:rsidR="00225D4A" w:rsidRPr="00E44753" w:rsidRDefault="00225D4A" w:rsidP="00E44753">
      <w:pPr>
        <w:jc w:val="both"/>
        <w:rPr>
          <w:rFonts w:eastAsia="TimesNewRomanPSMT"/>
          <w:sz w:val="20"/>
          <w:szCs w:val="20"/>
        </w:rPr>
      </w:pPr>
      <w:r w:rsidRPr="00E44753">
        <w:rPr>
          <w:rFonts w:eastAsia="TimesNewRomanPSMT"/>
          <w:sz w:val="20"/>
          <w:szCs w:val="20"/>
        </w:rPr>
        <w:t xml:space="preserve">The drug content of the F-CEF FMWCNT-DPI was 98.67 ± 0.32 % w/w. </w:t>
      </w:r>
    </w:p>
    <w:p w14:paraId="659393D5" w14:textId="77777777" w:rsidR="00E44753" w:rsidRPr="00277ED3" w:rsidRDefault="00E44753" w:rsidP="00E44753">
      <w:pPr>
        <w:pStyle w:val="Body"/>
        <w:spacing w:after="0" w:line="240" w:lineRule="auto"/>
        <w:jc w:val="both"/>
        <w:rPr>
          <w:rFonts w:ascii="Times New Roman" w:hAnsi="Times New Roman" w:cs="Times New Roman"/>
          <w:b/>
          <w:bCs/>
          <w:sz w:val="20"/>
          <w:szCs w:val="20"/>
        </w:rPr>
      </w:pPr>
    </w:p>
    <w:p w14:paraId="699B319C" w14:textId="77777777" w:rsidR="00225D4A" w:rsidRPr="00E44753" w:rsidRDefault="00225D4A" w:rsidP="00E44753">
      <w:pPr>
        <w:pStyle w:val="Body"/>
        <w:spacing w:after="0" w:line="240" w:lineRule="auto"/>
        <w:jc w:val="both"/>
        <w:rPr>
          <w:rFonts w:ascii="Times New Roman" w:hAnsi="Times New Roman" w:cs="Times New Roman"/>
          <w:sz w:val="20"/>
          <w:szCs w:val="20"/>
        </w:rPr>
      </w:pPr>
      <w:r w:rsidRPr="00E44753">
        <w:rPr>
          <w:rFonts w:ascii="Times New Roman" w:hAnsi="Times New Roman" w:cs="Times New Roman"/>
          <w:b/>
          <w:sz w:val="20"/>
          <w:szCs w:val="20"/>
        </w:rPr>
        <w:t>Particle size determination</w:t>
      </w:r>
    </w:p>
    <w:p w14:paraId="01CB28B5" w14:textId="77777777" w:rsidR="00225D4A" w:rsidRPr="00E44753" w:rsidRDefault="00225D4A" w:rsidP="00E44753">
      <w:pPr>
        <w:pStyle w:val="Body"/>
        <w:spacing w:after="0" w:line="240" w:lineRule="auto"/>
        <w:jc w:val="both"/>
        <w:rPr>
          <w:rFonts w:ascii="Times New Roman" w:hAnsi="Times New Roman" w:cs="Times New Roman"/>
          <w:sz w:val="20"/>
          <w:szCs w:val="20"/>
        </w:rPr>
      </w:pPr>
      <w:r w:rsidRPr="00E44753">
        <w:rPr>
          <w:rFonts w:ascii="Times New Roman" w:hAnsi="Times New Roman" w:cs="Times New Roman"/>
          <w:sz w:val="20"/>
          <w:szCs w:val="20"/>
        </w:rPr>
        <w:t xml:space="preserve">The particle size of an </w:t>
      </w:r>
      <w:r w:rsidRPr="00E44753">
        <w:rPr>
          <w:rFonts w:ascii="Times New Roman" w:eastAsia="TimesNewRomanPSMT" w:hAnsi="Times New Roman" w:cs="Times New Roman"/>
          <w:sz w:val="20"/>
          <w:szCs w:val="20"/>
        </w:rPr>
        <w:t xml:space="preserve">F-CEF FMWCNT-DPI </w:t>
      </w:r>
      <w:r w:rsidRPr="00E44753">
        <w:rPr>
          <w:rFonts w:ascii="Times New Roman" w:hAnsi="Times New Roman" w:cs="Times New Roman"/>
          <w:sz w:val="20"/>
          <w:szCs w:val="20"/>
        </w:rPr>
        <w:t xml:space="preserve">was 5.25 ± 0.03 </w:t>
      </w:r>
      <w:proofErr w:type="spellStart"/>
      <w:r w:rsidRPr="00E44753">
        <w:rPr>
          <w:rFonts w:ascii="Times New Roman" w:hAnsi="Times New Roman" w:cs="Times New Roman"/>
          <w:sz w:val="20"/>
          <w:szCs w:val="20"/>
        </w:rPr>
        <w:t>μm</w:t>
      </w:r>
      <w:proofErr w:type="spellEnd"/>
      <w:r w:rsidRPr="00E44753">
        <w:rPr>
          <w:rFonts w:ascii="Times New Roman" w:hAnsi="Times New Roman" w:cs="Times New Roman"/>
          <w:sz w:val="20"/>
          <w:szCs w:val="20"/>
        </w:rPr>
        <w:t xml:space="preserve"> and for C-CEF DPI it was 7.54 ± 0.02 </w:t>
      </w:r>
      <w:proofErr w:type="spellStart"/>
      <w:r w:rsidRPr="00E44753">
        <w:rPr>
          <w:rFonts w:ascii="Times New Roman" w:hAnsi="Times New Roman" w:cs="Times New Roman"/>
          <w:sz w:val="20"/>
          <w:szCs w:val="20"/>
        </w:rPr>
        <w:t>μm</w:t>
      </w:r>
      <w:proofErr w:type="spellEnd"/>
      <w:r w:rsidRPr="00E44753">
        <w:rPr>
          <w:rFonts w:ascii="Times New Roman" w:hAnsi="Times New Roman" w:cs="Times New Roman"/>
          <w:sz w:val="20"/>
          <w:szCs w:val="20"/>
        </w:rPr>
        <w:t xml:space="preserve"> as depicted in </w:t>
      </w:r>
      <w:r w:rsidR="00312483" w:rsidRPr="00E44753">
        <w:rPr>
          <w:rFonts w:ascii="Times New Roman" w:hAnsi="Times New Roman" w:cs="Times New Roman"/>
          <w:sz w:val="20"/>
          <w:szCs w:val="20"/>
        </w:rPr>
        <w:t>(</w:t>
      </w:r>
      <w:r w:rsidRPr="00E44753">
        <w:rPr>
          <w:rFonts w:ascii="Times New Roman" w:hAnsi="Times New Roman" w:cs="Times New Roman"/>
          <w:sz w:val="20"/>
          <w:szCs w:val="20"/>
        </w:rPr>
        <w:t xml:space="preserve">figure </w:t>
      </w:r>
      <w:r w:rsidR="00626236" w:rsidRPr="00E44753">
        <w:rPr>
          <w:rFonts w:ascii="Times New Roman" w:hAnsi="Times New Roman" w:cs="Times New Roman"/>
          <w:sz w:val="20"/>
          <w:szCs w:val="20"/>
        </w:rPr>
        <w:t>4</w:t>
      </w:r>
      <w:r w:rsidR="00312483" w:rsidRPr="00E44753">
        <w:rPr>
          <w:rFonts w:ascii="Times New Roman" w:hAnsi="Times New Roman" w:cs="Times New Roman"/>
          <w:sz w:val="20"/>
          <w:szCs w:val="20"/>
        </w:rPr>
        <w:t>)</w:t>
      </w:r>
      <w:r w:rsidRPr="00E44753">
        <w:rPr>
          <w:rFonts w:ascii="Times New Roman" w:hAnsi="Times New Roman" w:cs="Times New Roman"/>
          <w:sz w:val="20"/>
          <w:szCs w:val="20"/>
        </w:rPr>
        <w:t xml:space="preserve">. </w:t>
      </w:r>
    </w:p>
    <w:p w14:paraId="69E564F8" w14:textId="49EC33FE" w:rsidR="00626236" w:rsidRPr="00E44753" w:rsidRDefault="0064719F" w:rsidP="00E44753">
      <w:pPr>
        <w:pStyle w:val="Body"/>
        <w:spacing w:after="0" w:line="240" w:lineRule="auto"/>
        <w:jc w:val="both"/>
        <w:rPr>
          <w:rFonts w:ascii="Times New Roman" w:hAnsi="Times New Roman" w:cs="Times New Roman"/>
          <w:sz w:val="20"/>
          <w:szCs w:val="20"/>
        </w:rPr>
      </w:pPr>
      <w:r>
        <w:rPr>
          <w:noProof/>
        </w:rPr>
        <w:drawing>
          <wp:inline distT="0" distB="0" distL="0" distR="0" wp14:anchorId="119A1B5C" wp14:editId="0593820D">
            <wp:extent cx="3346450" cy="1447800"/>
            <wp:effectExtent l="0" t="0" r="6350" b="0"/>
            <wp:docPr id="1323643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6450" cy="1447800"/>
                    </a:xfrm>
                    <a:prstGeom prst="rect">
                      <a:avLst/>
                    </a:prstGeom>
                    <a:noFill/>
                    <a:ln>
                      <a:noFill/>
                    </a:ln>
                  </pic:spPr>
                </pic:pic>
              </a:graphicData>
            </a:graphic>
          </wp:inline>
        </w:drawing>
      </w:r>
    </w:p>
    <w:p w14:paraId="205F674C" w14:textId="5C30367A" w:rsidR="00B45BC6" w:rsidRPr="00E44753" w:rsidRDefault="00626236" w:rsidP="00E44753">
      <w:pPr>
        <w:pStyle w:val="Body"/>
        <w:spacing w:after="0" w:line="240" w:lineRule="auto"/>
        <w:jc w:val="both"/>
        <w:rPr>
          <w:rFonts w:ascii="Times New Roman" w:hAnsi="Times New Roman" w:cs="Times New Roman"/>
          <w:b/>
          <w:bCs/>
          <w:sz w:val="16"/>
          <w:szCs w:val="16"/>
        </w:rPr>
      </w:pPr>
      <w:r w:rsidRPr="00E44753">
        <w:rPr>
          <w:rFonts w:ascii="Times New Roman" w:hAnsi="Times New Roman" w:cs="Times New Roman"/>
          <w:b/>
          <w:bCs/>
          <w:sz w:val="16"/>
          <w:szCs w:val="16"/>
          <w:lang w:val="en-IN"/>
        </w:rPr>
        <w:t>Figure 4. Particle size determination of F CEF FMWCNT DPI and C CEF DPI</w:t>
      </w:r>
      <w:r w:rsidR="00E44753" w:rsidRPr="00E44753">
        <w:rPr>
          <w:rFonts w:ascii="Times New Roman" w:hAnsi="Times New Roman" w:cs="Times New Roman"/>
          <w:b/>
          <w:bCs/>
          <w:sz w:val="16"/>
          <w:szCs w:val="16"/>
          <w:lang w:val="en-IN"/>
        </w:rPr>
        <w:t xml:space="preserve"> </w:t>
      </w:r>
      <w:r w:rsidR="00661DF9" w:rsidRPr="00661DF9">
        <w:rPr>
          <w:rFonts w:ascii="Source Sans Pro" w:hAnsi="Source Sans Pro"/>
          <w:b/>
          <w:i/>
          <w:iCs/>
          <w:color w:val="ED7D31" w:themeColor="accent2"/>
          <w:sz w:val="20"/>
          <w:szCs w:val="18"/>
        </w:rPr>
        <w:t>(Times New Roman front 8 Bold)</w:t>
      </w:r>
    </w:p>
    <w:p w14:paraId="070A99FE" w14:textId="77777777" w:rsidR="00E44753" w:rsidRPr="00277ED3" w:rsidRDefault="00E44753" w:rsidP="00E44753">
      <w:pPr>
        <w:jc w:val="both"/>
        <w:rPr>
          <w:b/>
          <w:bCs/>
          <w:color w:val="000000"/>
          <w:sz w:val="22"/>
          <w:szCs w:val="20"/>
        </w:rPr>
      </w:pPr>
    </w:p>
    <w:p w14:paraId="51FFEA87" w14:textId="6EBF1361" w:rsidR="00612B86" w:rsidRPr="00E44753" w:rsidRDefault="00612B86" w:rsidP="00E44753">
      <w:pPr>
        <w:rPr>
          <w:b/>
          <w:bCs/>
          <w:sz w:val="16"/>
          <w:szCs w:val="16"/>
          <w:lang w:val="en-US"/>
        </w:rPr>
      </w:pPr>
      <w:r w:rsidRPr="00E44753">
        <w:rPr>
          <w:b/>
          <w:bCs/>
          <w:sz w:val="16"/>
          <w:szCs w:val="16"/>
          <w:lang w:val="en-US"/>
        </w:rPr>
        <w:t xml:space="preserve">Figure </w:t>
      </w:r>
      <w:r w:rsidR="00CA55D9" w:rsidRPr="00E44753">
        <w:rPr>
          <w:b/>
          <w:bCs/>
          <w:sz w:val="16"/>
          <w:szCs w:val="16"/>
          <w:lang w:val="en-US"/>
        </w:rPr>
        <w:t>5.</w:t>
      </w:r>
      <w:r w:rsidR="00CA55D9" w:rsidRPr="00E44753">
        <w:rPr>
          <w:b/>
          <w:bCs/>
          <w:i/>
          <w:sz w:val="16"/>
          <w:szCs w:val="16"/>
          <w:lang w:val="en-US"/>
        </w:rPr>
        <w:t xml:space="preserve"> In</w:t>
      </w:r>
      <w:r w:rsidRPr="00E44753">
        <w:rPr>
          <w:b/>
          <w:bCs/>
          <w:i/>
          <w:sz w:val="16"/>
          <w:szCs w:val="16"/>
          <w:lang w:val="en-US"/>
        </w:rPr>
        <w:t xml:space="preserve"> vitro</w:t>
      </w:r>
      <w:r w:rsidRPr="00E44753">
        <w:rPr>
          <w:b/>
          <w:bCs/>
          <w:sz w:val="16"/>
          <w:szCs w:val="16"/>
          <w:lang w:val="en-US"/>
        </w:rPr>
        <w:t xml:space="preserve"> release study.</w:t>
      </w:r>
      <w:r w:rsidR="00E44753" w:rsidRPr="00E44753">
        <w:rPr>
          <w:b/>
          <w:bCs/>
          <w:sz w:val="16"/>
          <w:szCs w:val="16"/>
          <w:lang w:val="en-US"/>
        </w:rPr>
        <w:t xml:space="preserve"> </w:t>
      </w:r>
      <w:r w:rsidR="00661DF9" w:rsidRPr="00661DF9">
        <w:rPr>
          <w:rFonts w:ascii="Source Sans Pro" w:hAnsi="Source Sans Pro"/>
          <w:b/>
          <w:i/>
          <w:iCs/>
          <w:color w:val="ED7D31" w:themeColor="accent2"/>
          <w:sz w:val="20"/>
          <w:szCs w:val="18"/>
        </w:rPr>
        <w:t>(Times New Roman front 8 Bold)</w:t>
      </w:r>
    </w:p>
    <w:p w14:paraId="61D50DAA" w14:textId="77777777" w:rsidR="00E44753" w:rsidRDefault="00E44753" w:rsidP="00E44753">
      <w:pPr>
        <w:rPr>
          <w:b/>
          <w:sz w:val="20"/>
          <w:szCs w:val="20"/>
        </w:rPr>
      </w:pPr>
    </w:p>
    <w:p w14:paraId="6AA7A043" w14:textId="77777777" w:rsidR="00C819B3" w:rsidRDefault="00C819B3" w:rsidP="00E44753">
      <w:pPr>
        <w:pStyle w:val="Body"/>
        <w:spacing w:after="0" w:line="240" w:lineRule="auto"/>
        <w:jc w:val="both"/>
        <w:rPr>
          <w:rFonts w:ascii="Times New Roman" w:hAnsi="Times New Roman" w:cs="Times New Roman"/>
          <w:b/>
          <w:szCs w:val="20"/>
        </w:rPr>
      </w:pPr>
    </w:p>
    <w:p w14:paraId="1C74B847" w14:textId="146E6865" w:rsidR="00225D4A" w:rsidRPr="00277ED3" w:rsidRDefault="00225D4A" w:rsidP="00E44753">
      <w:pPr>
        <w:pStyle w:val="Body"/>
        <w:spacing w:after="0" w:line="240" w:lineRule="auto"/>
        <w:jc w:val="both"/>
        <w:rPr>
          <w:rFonts w:ascii="Times New Roman" w:hAnsi="Times New Roman" w:cs="Times New Roman"/>
          <w:szCs w:val="20"/>
        </w:rPr>
      </w:pPr>
      <w:r w:rsidRPr="00E44753">
        <w:rPr>
          <w:rFonts w:ascii="Times New Roman" w:hAnsi="Times New Roman" w:cs="Times New Roman"/>
          <w:b/>
          <w:szCs w:val="20"/>
        </w:rPr>
        <w:t>In vitro deposition study using ACI</w:t>
      </w:r>
    </w:p>
    <w:p w14:paraId="44CE37D0" w14:textId="700431AE" w:rsidR="00225D4A" w:rsidRPr="00E44753" w:rsidRDefault="00225D4A" w:rsidP="00E44753">
      <w:pPr>
        <w:jc w:val="both"/>
        <w:rPr>
          <w:rFonts w:eastAsia="TimesNewRomanPSMT"/>
          <w:sz w:val="20"/>
          <w:szCs w:val="20"/>
        </w:rPr>
      </w:pPr>
      <w:r w:rsidRPr="00E44753">
        <w:rPr>
          <w:sz w:val="20"/>
          <w:szCs w:val="20"/>
          <w:shd w:val="clear" w:color="auto" w:fill="FFFFFF"/>
        </w:rPr>
        <w:t xml:space="preserve">An aerodynamic characteristic of the F-CEF FMWCNT-DPI having required particle size and flow properties was assessed and compared with CCEF-DPI formulation by using an eight-stage, nonviable cascade impactor. The parameters such as MMAD, GSD, and FPF have prominently regulated the aerosolization and deposition of </w:t>
      </w:r>
      <w:r w:rsidRPr="00E44753">
        <w:rPr>
          <w:sz w:val="20"/>
          <w:szCs w:val="20"/>
          <w:shd w:val="clear" w:color="auto" w:fill="FFFFFF"/>
        </w:rPr>
        <w:lastRenderedPageBreak/>
        <w:t xml:space="preserve">formulations in the lung. The </w:t>
      </w:r>
      <w:proofErr w:type="spellStart"/>
      <w:r w:rsidRPr="00E44753">
        <w:rPr>
          <w:sz w:val="20"/>
          <w:szCs w:val="20"/>
          <w:shd w:val="clear" w:color="auto" w:fill="FFFFFF"/>
        </w:rPr>
        <w:t>Rotahaler</w:t>
      </w:r>
      <w:proofErr w:type="spellEnd"/>
      <w:r w:rsidRPr="00E44753">
        <w:rPr>
          <w:sz w:val="20"/>
          <w:szCs w:val="20"/>
          <w:shd w:val="clear" w:color="auto" w:fill="FFFFFF"/>
        </w:rPr>
        <w:t xml:space="preserve"> was connected to ACI at 60 L/min to determine cefdinir content on each stage. The HPLC system specifications were as follows: Pump, PU-1580 (JASCO, Japan); Injector, </w:t>
      </w:r>
      <w:r w:rsidR="00C658E0" w:rsidRPr="00E44753">
        <w:rPr>
          <w:sz w:val="20"/>
          <w:szCs w:val="20"/>
          <w:shd w:val="clear" w:color="auto" w:fill="FFFFFF"/>
        </w:rPr>
        <w:t>auto sampler</w:t>
      </w:r>
      <w:r w:rsidRPr="00E44753">
        <w:rPr>
          <w:sz w:val="20"/>
          <w:szCs w:val="20"/>
          <w:shd w:val="clear" w:color="auto" w:fill="FFFFFF"/>
        </w:rPr>
        <w:t xml:space="preserve"> (AS-1555; JASCO); Column, HypersilC18, 250 × 4.6 mm, 5 </w:t>
      </w:r>
      <w:proofErr w:type="spellStart"/>
      <w:r w:rsidRPr="00E44753">
        <w:rPr>
          <w:sz w:val="20"/>
          <w:szCs w:val="20"/>
          <w:shd w:val="clear" w:color="auto" w:fill="FFFFFF"/>
        </w:rPr>
        <w:t>μm</w:t>
      </w:r>
      <w:proofErr w:type="spellEnd"/>
      <w:r w:rsidRPr="00E44753">
        <w:rPr>
          <w:sz w:val="20"/>
          <w:szCs w:val="20"/>
          <w:shd w:val="clear" w:color="auto" w:fill="FFFFFF"/>
        </w:rPr>
        <w:t xml:space="preserve"> (</w:t>
      </w:r>
      <w:proofErr w:type="spellStart"/>
      <w:r w:rsidRPr="00E44753">
        <w:rPr>
          <w:sz w:val="20"/>
          <w:szCs w:val="20"/>
          <w:shd w:val="clear" w:color="auto" w:fill="FFFFFF"/>
        </w:rPr>
        <w:t>Thermo</w:t>
      </w:r>
      <w:proofErr w:type="spellEnd"/>
      <w:r w:rsidRPr="00E44753">
        <w:rPr>
          <w:sz w:val="20"/>
          <w:szCs w:val="20"/>
          <w:shd w:val="clear" w:color="auto" w:fill="FFFFFF"/>
        </w:rPr>
        <w:t xml:space="preserve"> Electron Corporation, USA); Detector, UV/visible (UV-1575; JASCO). Data acquisition and analysis were carried out using Borwin/HSS 2000 software (LG 1580-04; JASCO). The mobile phase was a mixture of </w:t>
      </w:r>
      <w:r w:rsidR="00C658E0" w:rsidRPr="00E44753">
        <w:rPr>
          <w:sz w:val="20"/>
          <w:szCs w:val="20"/>
          <w:shd w:val="clear" w:color="auto" w:fill="FFFFFF"/>
        </w:rPr>
        <w:t>acetonitrile: methanol</w:t>
      </w:r>
      <w:r w:rsidRPr="00E44753">
        <w:rPr>
          <w:sz w:val="20"/>
          <w:szCs w:val="20"/>
          <w:shd w:val="clear" w:color="auto" w:fill="FFFFFF"/>
        </w:rPr>
        <w:t>: water (13:5:2 v/v). The column temperature and flow rates were 40°C and 1 mL/min. The wavelength was 286 nm. The HPLC analytical reported method was well validated. The limit of detection and quantification for CEF was 5 to 25 ng/mL and retention time is 7.5 min. Whereas R</w:t>
      </w:r>
      <w:r w:rsidRPr="00E44753">
        <w:rPr>
          <w:sz w:val="20"/>
          <w:szCs w:val="20"/>
          <w:shd w:val="clear" w:color="auto" w:fill="FFFFFF"/>
          <w:vertAlign w:val="superscript"/>
        </w:rPr>
        <w:t>2</w:t>
      </w:r>
      <w:r w:rsidRPr="00E44753">
        <w:rPr>
          <w:sz w:val="20"/>
          <w:szCs w:val="20"/>
          <w:shd w:val="clear" w:color="auto" w:fill="FFFFFF"/>
        </w:rPr>
        <w:t xml:space="preserve"> value was found to be 0.9996. The percent mass deposited for conventional and formulated cefdinir loaded FMCNTs DPI formulation on different stages of ACI</w:t>
      </w:r>
      <w:r w:rsidR="00467E96">
        <w:rPr>
          <w:sz w:val="20"/>
          <w:szCs w:val="20"/>
          <w:shd w:val="clear" w:color="auto" w:fill="FFFFFF"/>
        </w:rPr>
        <w:t>.</w:t>
      </w:r>
      <w:r w:rsidRPr="00E44753">
        <w:rPr>
          <w:sz w:val="20"/>
          <w:szCs w:val="20"/>
          <w:shd w:val="clear" w:color="auto" w:fill="FFFFFF"/>
        </w:rPr>
        <w:t xml:space="preserve"> The recovered dose (RD), emitted dose (ED), and fine particle dose (FPD) of conventional DPI and formulated cefdinir loaded DPI formulation were depicted in </w:t>
      </w:r>
      <w:r w:rsidR="00C23E1F" w:rsidRPr="00E44753">
        <w:rPr>
          <w:sz w:val="20"/>
          <w:szCs w:val="20"/>
          <w:shd w:val="clear" w:color="auto" w:fill="FFFFFF"/>
        </w:rPr>
        <w:t>(</w:t>
      </w:r>
      <w:r w:rsidR="00BE0277" w:rsidRPr="00E44753">
        <w:rPr>
          <w:sz w:val="20"/>
          <w:szCs w:val="20"/>
          <w:shd w:val="clear" w:color="auto" w:fill="FFFFFF"/>
        </w:rPr>
        <w:t>Table 1</w:t>
      </w:r>
      <w:r w:rsidR="00C23E1F" w:rsidRPr="00E44753">
        <w:rPr>
          <w:sz w:val="20"/>
          <w:szCs w:val="20"/>
          <w:shd w:val="clear" w:color="auto" w:fill="FFFFFF"/>
        </w:rPr>
        <w:t>)</w:t>
      </w:r>
      <w:r w:rsidRPr="00E44753">
        <w:rPr>
          <w:sz w:val="20"/>
          <w:szCs w:val="20"/>
          <w:shd w:val="clear" w:color="auto" w:fill="FFFFFF"/>
        </w:rPr>
        <w:t>. From the results, it can be stated that the MMAD ratio is more conventional than the formulated</w:t>
      </w:r>
      <w:r w:rsidRPr="00E44753">
        <w:rPr>
          <w:rFonts w:eastAsia="TimesNewRomanPSMT"/>
          <w:sz w:val="20"/>
          <w:szCs w:val="20"/>
        </w:rPr>
        <w:t>.</w:t>
      </w:r>
    </w:p>
    <w:p w14:paraId="363FECFF" w14:textId="77777777" w:rsidR="00E44753" w:rsidRPr="00E44753" w:rsidRDefault="00E44753" w:rsidP="00E44753">
      <w:pPr>
        <w:jc w:val="both"/>
        <w:rPr>
          <w:rFonts w:eastAsia="TimesNewRomanPSMT"/>
          <w:sz w:val="20"/>
          <w:szCs w:val="20"/>
        </w:rPr>
      </w:pPr>
    </w:p>
    <w:p w14:paraId="4D73C296" w14:textId="283D122F" w:rsidR="005043BB" w:rsidRPr="00E44753" w:rsidRDefault="00997DBA" w:rsidP="00E44753">
      <w:pPr>
        <w:rPr>
          <w:iCs/>
          <w:sz w:val="20"/>
          <w:szCs w:val="20"/>
          <w:lang w:val="en-US"/>
        </w:rPr>
      </w:pPr>
      <w:r w:rsidRPr="00997DBA">
        <w:t xml:space="preserve"> </w:t>
      </w:r>
      <w:r w:rsidR="00467E96">
        <w:rPr>
          <w:noProof/>
        </w:rPr>
        <w:drawing>
          <wp:inline distT="0" distB="0" distL="0" distR="0" wp14:anchorId="3BE0A584" wp14:editId="41EF6EB9">
            <wp:extent cx="3644900" cy="1466850"/>
            <wp:effectExtent l="0" t="0" r="0" b="0"/>
            <wp:docPr id="1624973524" name="Picture 7" descr="Where to start? Injury prevention priority scores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ere to start? Injury prevention priority scores for ..."/>
                    <pic:cNvPicPr>
                      <a:picLocks noChangeAspect="1" noChangeArrowheads="1"/>
                    </pic:cNvPicPr>
                  </pic:nvPicPr>
                  <pic:blipFill rotWithShape="1">
                    <a:blip r:embed="rId13">
                      <a:extLst>
                        <a:ext uri="{28A0092B-C50C-407E-A947-70E740481C1C}">
                          <a14:useLocalDpi xmlns:a14="http://schemas.microsoft.com/office/drawing/2010/main" val="0"/>
                        </a:ext>
                      </a:extLst>
                    </a:blip>
                    <a:srcRect l="14634" t="28817" r="21729" b="12791"/>
                    <a:stretch>
                      <a:fillRect/>
                    </a:stretch>
                  </pic:blipFill>
                  <pic:spPr bwMode="auto">
                    <a:xfrm>
                      <a:off x="0" y="0"/>
                      <a:ext cx="3644900" cy="1466850"/>
                    </a:xfrm>
                    <a:prstGeom prst="rect">
                      <a:avLst/>
                    </a:prstGeom>
                    <a:noFill/>
                    <a:ln>
                      <a:noFill/>
                    </a:ln>
                    <a:extLst>
                      <a:ext uri="{53640926-AAD7-44D8-BBD7-CCE9431645EC}">
                        <a14:shadowObscured xmlns:a14="http://schemas.microsoft.com/office/drawing/2010/main"/>
                      </a:ext>
                    </a:extLst>
                  </pic:spPr>
                </pic:pic>
              </a:graphicData>
            </a:graphic>
          </wp:inline>
        </w:drawing>
      </w:r>
    </w:p>
    <w:p w14:paraId="6CFCC710" w14:textId="1BABDCB1" w:rsidR="009A03B6" w:rsidRPr="00E44753" w:rsidRDefault="005043BB" w:rsidP="00E44753">
      <w:pPr>
        <w:jc w:val="both"/>
        <w:rPr>
          <w:b/>
          <w:bCs/>
          <w:sz w:val="16"/>
          <w:szCs w:val="16"/>
          <w:lang w:val="en-US"/>
        </w:rPr>
      </w:pPr>
      <w:r w:rsidRPr="00E44753">
        <w:rPr>
          <w:b/>
          <w:bCs/>
          <w:iCs/>
          <w:sz w:val="16"/>
          <w:szCs w:val="16"/>
          <w:lang w:val="en-US"/>
        </w:rPr>
        <w:t xml:space="preserve">Figure </w:t>
      </w:r>
      <w:r w:rsidR="00CA55D9">
        <w:rPr>
          <w:b/>
          <w:bCs/>
          <w:iCs/>
          <w:sz w:val="16"/>
          <w:szCs w:val="16"/>
          <w:lang w:val="en-US"/>
        </w:rPr>
        <w:t>5</w:t>
      </w:r>
      <w:r w:rsidR="00CA55D9" w:rsidRPr="00E44753">
        <w:rPr>
          <w:b/>
          <w:bCs/>
          <w:iCs/>
          <w:sz w:val="16"/>
          <w:szCs w:val="16"/>
          <w:lang w:val="en-US"/>
        </w:rPr>
        <w:t>.</w:t>
      </w:r>
      <w:r w:rsidR="00CA55D9" w:rsidRPr="00E44753">
        <w:rPr>
          <w:b/>
          <w:bCs/>
          <w:i/>
          <w:iCs/>
          <w:sz w:val="16"/>
          <w:szCs w:val="16"/>
          <w:lang w:val="en-US"/>
        </w:rPr>
        <w:t xml:space="preserve"> In</w:t>
      </w:r>
      <w:r w:rsidRPr="00E44753">
        <w:rPr>
          <w:b/>
          <w:bCs/>
          <w:i/>
          <w:iCs/>
          <w:sz w:val="16"/>
          <w:szCs w:val="16"/>
          <w:lang w:val="en-US"/>
        </w:rPr>
        <w:t xml:space="preserve"> vitro </w:t>
      </w:r>
      <w:r w:rsidRPr="00E44753">
        <w:rPr>
          <w:b/>
          <w:bCs/>
          <w:sz w:val="16"/>
          <w:szCs w:val="16"/>
          <w:lang w:val="en-US"/>
        </w:rPr>
        <w:t xml:space="preserve">deposition profile of </w:t>
      </w:r>
      <w:r w:rsidR="00CA55D9" w:rsidRPr="00E44753">
        <w:rPr>
          <w:b/>
          <w:bCs/>
          <w:sz w:val="16"/>
          <w:szCs w:val="16"/>
          <w:lang w:val="en-US"/>
        </w:rPr>
        <w:t>DPIs</w:t>
      </w:r>
      <w:r w:rsidRPr="00E44753">
        <w:rPr>
          <w:b/>
          <w:bCs/>
          <w:sz w:val="16"/>
          <w:szCs w:val="16"/>
          <w:lang w:val="en-US"/>
        </w:rPr>
        <w:t xml:space="preserve"> in Andersen cascade impactor</w:t>
      </w:r>
      <w:r w:rsidR="00E44753" w:rsidRPr="00E44753">
        <w:rPr>
          <w:b/>
          <w:bCs/>
          <w:sz w:val="16"/>
          <w:szCs w:val="16"/>
          <w:lang w:val="en-US"/>
        </w:rPr>
        <w:t xml:space="preserve"> </w:t>
      </w:r>
      <w:r w:rsidR="00661DF9" w:rsidRPr="00661DF9">
        <w:rPr>
          <w:rFonts w:ascii="Source Sans Pro" w:hAnsi="Source Sans Pro"/>
          <w:b/>
          <w:i/>
          <w:iCs/>
          <w:color w:val="ED7D31" w:themeColor="accent2"/>
          <w:sz w:val="20"/>
          <w:szCs w:val="18"/>
        </w:rPr>
        <w:t>(Times New Roman front 8 Bold)</w:t>
      </w:r>
    </w:p>
    <w:p w14:paraId="386D9119" w14:textId="77777777" w:rsidR="007C25FC" w:rsidRPr="00E44753" w:rsidRDefault="007C25FC" w:rsidP="00E44753">
      <w:pPr>
        <w:jc w:val="both"/>
        <w:rPr>
          <w:sz w:val="20"/>
          <w:szCs w:val="20"/>
          <w:lang w:val="en-US"/>
        </w:rPr>
      </w:pPr>
    </w:p>
    <w:p w14:paraId="5E642F4B" w14:textId="77777777" w:rsidR="00277ED3" w:rsidRDefault="00277ED3" w:rsidP="00E44753">
      <w:pPr>
        <w:jc w:val="both"/>
        <w:rPr>
          <w:b/>
          <w:sz w:val="16"/>
          <w:szCs w:val="12"/>
        </w:rPr>
      </w:pPr>
    </w:p>
    <w:p w14:paraId="38BF1BCF" w14:textId="77777777" w:rsidR="00CA55D9" w:rsidRDefault="00A83E15" w:rsidP="00E44753">
      <w:pPr>
        <w:jc w:val="both"/>
        <w:rPr>
          <w:rFonts w:ascii="Source Sans Pro" w:hAnsi="Source Sans Pro"/>
          <w:b/>
          <w:i/>
          <w:iCs/>
          <w:color w:val="ED7D31" w:themeColor="accent2"/>
          <w:sz w:val="20"/>
          <w:szCs w:val="18"/>
        </w:rPr>
      </w:pPr>
      <w:r w:rsidRPr="00E44753">
        <w:rPr>
          <w:b/>
          <w:sz w:val="16"/>
          <w:szCs w:val="12"/>
        </w:rPr>
        <w:t xml:space="preserve">Table </w:t>
      </w:r>
      <w:r w:rsidR="00BE0277" w:rsidRPr="00E44753">
        <w:rPr>
          <w:b/>
          <w:sz w:val="16"/>
          <w:szCs w:val="12"/>
        </w:rPr>
        <w:t>1</w:t>
      </w:r>
      <w:r w:rsidRPr="00E44753">
        <w:rPr>
          <w:b/>
          <w:sz w:val="16"/>
          <w:szCs w:val="12"/>
        </w:rPr>
        <w:t>. Deposition profile of CCEF-DPI and F CEF FMWCNT-DPI in cascade impactor</w:t>
      </w:r>
      <w:r w:rsidR="00E44753" w:rsidRPr="00E44753">
        <w:rPr>
          <w:b/>
          <w:sz w:val="16"/>
          <w:szCs w:val="12"/>
        </w:rPr>
        <w:t xml:space="preserve"> </w:t>
      </w:r>
      <w:r w:rsidR="00661DF9" w:rsidRPr="00661DF9">
        <w:rPr>
          <w:rFonts w:ascii="Source Sans Pro" w:hAnsi="Source Sans Pro"/>
          <w:b/>
          <w:i/>
          <w:iCs/>
          <w:color w:val="ED7D31" w:themeColor="accent2"/>
          <w:sz w:val="20"/>
          <w:szCs w:val="18"/>
        </w:rPr>
        <w:t>(Times New Roman front 8 Bold)</w:t>
      </w:r>
    </w:p>
    <w:p w14:paraId="2A31C431" w14:textId="77777777" w:rsidR="00A83E15" w:rsidRPr="00E44753" w:rsidRDefault="00A83E15" w:rsidP="00E44753">
      <w:pPr>
        <w:rPr>
          <w:b/>
          <w:sz w:val="16"/>
          <w:szCs w:val="12"/>
        </w:rPr>
      </w:pPr>
    </w:p>
    <w:tbl>
      <w:tblPr>
        <w:tblW w:w="7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944"/>
        <w:gridCol w:w="944"/>
        <w:gridCol w:w="967"/>
        <w:gridCol w:w="1024"/>
        <w:gridCol w:w="1202"/>
        <w:gridCol w:w="998"/>
      </w:tblGrid>
      <w:tr w:rsidR="00A83E15" w:rsidRPr="00E44753" w14:paraId="3EFC4CFB" w14:textId="77777777" w:rsidTr="000E0CBB">
        <w:trPr>
          <w:trHeight w:val="431"/>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52405BF9" w14:textId="77777777" w:rsidR="00A83E15" w:rsidRPr="00E44753" w:rsidRDefault="00A83E15" w:rsidP="00E44753">
            <w:pPr>
              <w:rPr>
                <w:b/>
                <w:sz w:val="16"/>
                <w:szCs w:val="16"/>
              </w:rPr>
            </w:pPr>
            <w:r w:rsidRPr="00E44753">
              <w:rPr>
                <w:b/>
                <w:sz w:val="16"/>
                <w:szCs w:val="16"/>
              </w:rPr>
              <w:t>Formulation</w:t>
            </w:r>
          </w:p>
        </w:tc>
        <w:tc>
          <w:tcPr>
            <w:tcW w:w="944" w:type="dxa"/>
            <w:tcBorders>
              <w:top w:val="single" w:sz="4" w:space="0" w:color="auto"/>
              <w:left w:val="single" w:sz="4" w:space="0" w:color="auto"/>
              <w:bottom w:val="single" w:sz="4" w:space="0" w:color="auto"/>
              <w:right w:val="single" w:sz="4" w:space="0" w:color="auto"/>
            </w:tcBorders>
            <w:vAlign w:val="center"/>
            <w:hideMark/>
          </w:tcPr>
          <w:p w14:paraId="0A1546F0" w14:textId="77777777" w:rsidR="00A83E15" w:rsidRPr="00E44753" w:rsidRDefault="00A83E15" w:rsidP="00E44753">
            <w:pPr>
              <w:rPr>
                <w:b/>
                <w:sz w:val="16"/>
                <w:szCs w:val="16"/>
              </w:rPr>
            </w:pPr>
            <w:r w:rsidRPr="00E44753">
              <w:rPr>
                <w:b/>
                <w:sz w:val="16"/>
                <w:szCs w:val="16"/>
              </w:rPr>
              <w:t>RD (mg)</w:t>
            </w:r>
          </w:p>
        </w:tc>
        <w:tc>
          <w:tcPr>
            <w:tcW w:w="944" w:type="dxa"/>
            <w:tcBorders>
              <w:top w:val="single" w:sz="4" w:space="0" w:color="auto"/>
              <w:left w:val="single" w:sz="4" w:space="0" w:color="auto"/>
              <w:bottom w:val="single" w:sz="4" w:space="0" w:color="auto"/>
              <w:right w:val="single" w:sz="4" w:space="0" w:color="auto"/>
            </w:tcBorders>
            <w:vAlign w:val="center"/>
            <w:hideMark/>
          </w:tcPr>
          <w:p w14:paraId="6D4F12BE" w14:textId="77777777" w:rsidR="00A83E15" w:rsidRPr="00E44753" w:rsidRDefault="00A83E15" w:rsidP="00E44753">
            <w:pPr>
              <w:rPr>
                <w:b/>
                <w:sz w:val="16"/>
                <w:szCs w:val="16"/>
              </w:rPr>
            </w:pPr>
            <w:r w:rsidRPr="00E44753">
              <w:rPr>
                <w:b/>
                <w:sz w:val="16"/>
                <w:szCs w:val="16"/>
              </w:rPr>
              <w:t>ED (mg)</w:t>
            </w:r>
          </w:p>
        </w:tc>
        <w:tc>
          <w:tcPr>
            <w:tcW w:w="967" w:type="dxa"/>
            <w:tcBorders>
              <w:top w:val="single" w:sz="4" w:space="0" w:color="auto"/>
              <w:left w:val="single" w:sz="4" w:space="0" w:color="auto"/>
              <w:bottom w:val="single" w:sz="4" w:space="0" w:color="auto"/>
              <w:right w:val="single" w:sz="4" w:space="0" w:color="auto"/>
            </w:tcBorders>
            <w:vAlign w:val="center"/>
            <w:hideMark/>
          </w:tcPr>
          <w:p w14:paraId="0D8EEDA6" w14:textId="77777777" w:rsidR="00A83E15" w:rsidRPr="00E44753" w:rsidRDefault="00A83E15" w:rsidP="00E44753">
            <w:pPr>
              <w:rPr>
                <w:b/>
                <w:sz w:val="16"/>
                <w:szCs w:val="16"/>
              </w:rPr>
            </w:pPr>
            <w:r w:rsidRPr="00E44753">
              <w:rPr>
                <w:b/>
                <w:sz w:val="16"/>
                <w:szCs w:val="16"/>
              </w:rPr>
              <w:t>FPD (mg)</w:t>
            </w:r>
          </w:p>
        </w:tc>
        <w:tc>
          <w:tcPr>
            <w:tcW w:w="1024" w:type="dxa"/>
            <w:tcBorders>
              <w:top w:val="single" w:sz="4" w:space="0" w:color="auto"/>
              <w:left w:val="single" w:sz="4" w:space="0" w:color="auto"/>
              <w:bottom w:val="single" w:sz="4" w:space="0" w:color="auto"/>
              <w:right w:val="single" w:sz="4" w:space="0" w:color="auto"/>
            </w:tcBorders>
            <w:vAlign w:val="center"/>
            <w:hideMark/>
          </w:tcPr>
          <w:p w14:paraId="3F3FBF10" w14:textId="77777777" w:rsidR="00A83E15" w:rsidRPr="00E44753" w:rsidRDefault="00A83E15" w:rsidP="00E44753">
            <w:pPr>
              <w:rPr>
                <w:b/>
                <w:sz w:val="16"/>
                <w:szCs w:val="16"/>
              </w:rPr>
            </w:pPr>
            <w:r w:rsidRPr="00E44753">
              <w:rPr>
                <w:b/>
                <w:sz w:val="16"/>
                <w:szCs w:val="16"/>
              </w:rPr>
              <w:t>FPF (%)</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B91A6C7" w14:textId="77777777" w:rsidR="00A83E15" w:rsidRPr="00E44753" w:rsidRDefault="00A83E15" w:rsidP="00E44753">
            <w:pPr>
              <w:rPr>
                <w:b/>
                <w:sz w:val="16"/>
                <w:szCs w:val="16"/>
              </w:rPr>
            </w:pPr>
            <w:r w:rsidRPr="00E44753">
              <w:rPr>
                <w:b/>
                <w:sz w:val="16"/>
                <w:szCs w:val="16"/>
              </w:rPr>
              <w:t>MMAD (µm)</w:t>
            </w:r>
          </w:p>
        </w:tc>
        <w:tc>
          <w:tcPr>
            <w:tcW w:w="998" w:type="dxa"/>
            <w:tcBorders>
              <w:top w:val="single" w:sz="4" w:space="0" w:color="auto"/>
              <w:left w:val="single" w:sz="4" w:space="0" w:color="auto"/>
              <w:bottom w:val="single" w:sz="4" w:space="0" w:color="auto"/>
              <w:right w:val="single" w:sz="4" w:space="0" w:color="auto"/>
            </w:tcBorders>
            <w:vAlign w:val="center"/>
            <w:hideMark/>
          </w:tcPr>
          <w:p w14:paraId="6DB7CB39" w14:textId="77777777" w:rsidR="00A83E15" w:rsidRPr="00E44753" w:rsidRDefault="00A83E15" w:rsidP="00E44753">
            <w:pPr>
              <w:rPr>
                <w:b/>
                <w:sz w:val="16"/>
                <w:szCs w:val="16"/>
              </w:rPr>
            </w:pPr>
            <w:r w:rsidRPr="00E44753">
              <w:rPr>
                <w:b/>
                <w:sz w:val="16"/>
                <w:szCs w:val="16"/>
              </w:rPr>
              <w:t>GSD (µm)</w:t>
            </w:r>
          </w:p>
        </w:tc>
      </w:tr>
      <w:tr w:rsidR="00A83E15" w:rsidRPr="00E44753" w14:paraId="49C02B7C" w14:textId="77777777" w:rsidTr="000E0CBB">
        <w:trPr>
          <w:trHeight w:val="530"/>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70221C03" w14:textId="77777777" w:rsidR="00A83E15" w:rsidRPr="00E44753" w:rsidRDefault="00A83E15" w:rsidP="00E44753">
            <w:pPr>
              <w:rPr>
                <w:sz w:val="16"/>
                <w:szCs w:val="16"/>
              </w:rPr>
            </w:pPr>
            <w:r w:rsidRPr="00E44753">
              <w:rPr>
                <w:sz w:val="16"/>
                <w:szCs w:val="16"/>
              </w:rPr>
              <w:t>C-CEF DPI</w:t>
            </w:r>
          </w:p>
        </w:tc>
        <w:tc>
          <w:tcPr>
            <w:tcW w:w="944" w:type="dxa"/>
            <w:tcBorders>
              <w:top w:val="single" w:sz="4" w:space="0" w:color="auto"/>
              <w:left w:val="single" w:sz="4" w:space="0" w:color="auto"/>
              <w:bottom w:val="single" w:sz="4" w:space="0" w:color="auto"/>
              <w:right w:val="single" w:sz="4" w:space="0" w:color="auto"/>
            </w:tcBorders>
            <w:vAlign w:val="center"/>
            <w:hideMark/>
          </w:tcPr>
          <w:p w14:paraId="67998F55" w14:textId="77777777" w:rsidR="00A83E15" w:rsidRPr="00E44753" w:rsidRDefault="00A83E15" w:rsidP="00E44753">
            <w:pPr>
              <w:rPr>
                <w:sz w:val="16"/>
                <w:szCs w:val="16"/>
              </w:rPr>
            </w:pPr>
            <w:r w:rsidRPr="00E44753">
              <w:rPr>
                <w:sz w:val="16"/>
                <w:szCs w:val="16"/>
              </w:rPr>
              <w:t>9.91±0.32</w:t>
            </w:r>
          </w:p>
        </w:tc>
        <w:tc>
          <w:tcPr>
            <w:tcW w:w="944" w:type="dxa"/>
            <w:tcBorders>
              <w:top w:val="single" w:sz="4" w:space="0" w:color="auto"/>
              <w:left w:val="single" w:sz="4" w:space="0" w:color="auto"/>
              <w:bottom w:val="single" w:sz="4" w:space="0" w:color="auto"/>
              <w:right w:val="single" w:sz="4" w:space="0" w:color="auto"/>
            </w:tcBorders>
            <w:vAlign w:val="center"/>
            <w:hideMark/>
          </w:tcPr>
          <w:p w14:paraId="091C8D9E" w14:textId="77777777" w:rsidR="00A83E15" w:rsidRPr="00E44753" w:rsidRDefault="00A83E15" w:rsidP="00E44753">
            <w:pPr>
              <w:rPr>
                <w:sz w:val="16"/>
                <w:szCs w:val="16"/>
              </w:rPr>
            </w:pPr>
            <w:r w:rsidRPr="00E44753">
              <w:rPr>
                <w:sz w:val="16"/>
                <w:szCs w:val="16"/>
              </w:rPr>
              <w:t>9.43±0.26</w:t>
            </w:r>
          </w:p>
        </w:tc>
        <w:tc>
          <w:tcPr>
            <w:tcW w:w="967" w:type="dxa"/>
            <w:tcBorders>
              <w:top w:val="single" w:sz="4" w:space="0" w:color="auto"/>
              <w:left w:val="single" w:sz="4" w:space="0" w:color="auto"/>
              <w:bottom w:val="single" w:sz="4" w:space="0" w:color="auto"/>
              <w:right w:val="single" w:sz="4" w:space="0" w:color="auto"/>
            </w:tcBorders>
            <w:vAlign w:val="center"/>
            <w:hideMark/>
          </w:tcPr>
          <w:p w14:paraId="2771A2CB" w14:textId="77777777" w:rsidR="00A83E15" w:rsidRPr="00E44753" w:rsidRDefault="00A83E15" w:rsidP="00E44753">
            <w:pPr>
              <w:rPr>
                <w:sz w:val="16"/>
                <w:szCs w:val="16"/>
              </w:rPr>
            </w:pPr>
            <w:r w:rsidRPr="00E44753">
              <w:rPr>
                <w:sz w:val="16"/>
                <w:szCs w:val="16"/>
              </w:rPr>
              <w:t>3.84±0.11</w:t>
            </w:r>
          </w:p>
        </w:tc>
        <w:tc>
          <w:tcPr>
            <w:tcW w:w="1024" w:type="dxa"/>
            <w:tcBorders>
              <w:top w:val="single" w:sz="4" w:space="0" w:color="auto"/>
              <w:left w:val="single" w:sz="4" w:space="0" w:color="auto"/>
              <w:bottom w:val="single" w:sz="4" w:space="0" w:color="auto"/>
              <w:right w:val="single" w:sz="4" w:space="0" w:color="auto"/>
            </w:tcBorders>
            <w:vAlign w:val="center"/>
            <w:hideMark/>
          </w:tcPr>
          <w:p w14:paraId="4D7F08A8" w14:textId="77777777" w:rsidR="00A83E15" w:rsidRPr="00E44753" w:rsidRDefault="00A83E15" w:rsidP="00E44753">
            <w:pPr>
              <w:rPr>
                <w:sz w:val="16"/>
                <w:szCs w:val="16"/>
              </w:rPr>
            </w:pPr>
            <w:r w:rsidRPr="00E44753">
              <w:rPr>
                <w:sz w:val="16"/>
                <w:szCs w:val="16"/>
              </w:rPr>
              <w:t>38.74±1.02</w:t>
            </w:r>
          </w:p>
        </w:tc>
        <w:tc>
          <w:tcPr>
            <w:tcW w:w="1202" w:type="dxa"/>
            <w:tcBorders>
              <w:top w:val="single" w:sz="4" w:space="0" w:color="auto"/>
              <w:left w:val="single" w:sz="4" w:space="0" w:color="auto"/>
              <w:bottom w:val="single" w:sz="4" w:space="0" w:color="auto"/>
              <w:right w:val="single" w:sz="4" w:space="0" w:color="auto"/>
            </w:tcBorders>
            <w:vAlign w:val="center"/>
            <w:hideMark/>
          </w:tcPr>
          <w:p w14:paraId="1D7BF6BD" w14:textId="77777777" w:rsidR="00A83E15" w:rsidRPr="00E44753" w:rsidRDefault="00A83E15" w:rsidP="00E44753">
            <w:pPr>
              <w:rPr>
                <w:sz w:val="16"/>
                <w:szCs w:val="16"/>
              </w:rPr>
            </w:pPr>
            <w:r w:rsidRPr="00E44753">
              <w:rPr>
                <w:sz w:val="16"/>
                <w:szCs w:val="16"/>
              </w:rPr>
              <w:t>4.29±0.16</w:t>
            </w:r>
          </w:p>
        </w:tc>
        <w:tc>
          <w:tcPr>
            <w:tcW w:w="998" w:type="dxa"/>
            <w:tcBorders>
              <w:top w:val="single" w:sz="4" w:space="0" w:color="auto"/>
              <w:left w:val="single" w:sz="4" w:space="0" w:color="auto"/>
              <w:bottom w:val="single" w:sz="4" w:space="0" w:color="auto"/>
              <w:right w:val="single" w:sz="4" w:space="0" w:color="auto"/>
            </w:tcBorders>
            <w:vAlign w:val="center"/>
            <w:hideMark/>
          </w:tcPr>
          <w:p w14:paraId="37B5851B" w14:textId="77777777" w:rsidR="00A83E15" w:rsidRPr="00E44753" w:rsidRDefault="00A83E15" w:rsidP="00E44753">
            <w:pPr>
              <w:rPr>
                <w:sz w:val="16"/>
                <w:szCs w:val="16"/>
              </w:rPr>
            </w:pPr>
            <w:r w:rsidRPr="00E44753">
              <w:rPr>
                <w:sz w:val="16"/>
                <w:szCs w:val="16"/>
              </w:rPr>
              <w:t>2.45±0.12</w:t>
            </w:r>
          </w:p>
        </w:tc>
      </w:tr>
      <w:tr w:rsidR="00A83E15" w:rsidRPr="00E44753" w14:paraId="70512A2F" w14:textId="77777777" w:rsidTr="000E0CBB">
        <w:trPr>
          <w:trHeight w:val="530"/>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14:paraId="6C51033E" w14:textId="77777777" w:rsidR="00A83E15" w:rsidRPr="00E44753" w:rsidRDefault="00A83E15" w:rsidP="00E44753">
            <w:pPr>
              <w:rPr>
                <w:sz w:val="16"/>
                <w:szCs w:val="16"/>
              </w:rPr>
            </w:pPr>
            <w:r w:rsidRPr="00E44753">
              <w:rPr>
                <w:sz w:val="16"/>
                <w:szCs w:val="16"/>
              </w:rPr>
              <w:t>F-CEF FMWCNT-DPI</w:t>
            </w:r>
          </w:p>
        </w:tc>
        <w:tc>
          <w:tcPr>
            <w:tcW w:w="944" w:type="dxa"/>
            <w:tcBorders>
              <w:top w:val="single" w:sz="4" w:space="0" w:color="auto"/>
              <w:left w:val="single" w:sz="4" w:space="0" w:color="auto"/>
              <w:bottom w:val="single" w:sz="4" w:space="0" w:color="auto"/>
              <w:right w:val="single" w:sz="4" w:space="0" w:color="auto"/>
            </w:tcBorders>
            <w:vAlign w:val="center"/>
            <w:hideMark/>
          </w:tcPr>
          <w:p w14:paraId="7AF6617F" w14:textId="77777777" w:rsidR="00A83E15" w:rsidRPr="00E44753" w:rsidRDefault="00A83E15" w:rsidP="00E44753">
            <w:pPr>
              <w:rPr>
                <w:sz w:val="16"/>
                <w:szCs w:val="16"/>
              </w:rPr>
            </w:pPr>
            <w:r w:rsidRPr="00E44753">
              <w:rPr>
                <w:sz w:val="16"/>
                <w:szCs w:val="16"/>
              </w:rPr>
              <w:t>9.62±0.23</w:t>
            </w:r>
          </w:p>
        </w:tc>
        <w:tc>
          <w:tcPr>
            <w:tcW w:w="944" w:type="dxa"/>
            <w:tcBorders>
              <w:top w:val="single" w:sz="4" w:space="0" w:color="auto"/>
              <w:left w:val="single" w:sz="4" w:space="0" w:color="auto"/>
              <w:bottom w:val="single" w:sz="4" w:space="0" w:color="auto"/>
              <w:right w:val="single" w:sz="4" w:space="0" w:color="auto"/>
            </w:tcBorders>
            <w:vAlign w:val="center"/>
            <w:hideMark/>
          </w:tcPr>
          <w:p w14:paraId="59074EA1" w14:textId="77777777" w:rsidR="00A83E15" w:rsidRPr="00E44753" w:rsidRDefault="00A83E15" w:rsidP="00E44753">
            <w:pPr>
              <w:rPr>
                <w:sz w:val="16"/>
                <w:szCs w:val="16"/>
              </w:rPr>
            </w:pPr>
            <w:r w:rsidRPr="00E44753">
              <w:rPr>
                <w:sz w:val="16"/>
                <w:szCs w:val="16"/>
              </w:rPr>
              <w:t>9.21±0.21</w:t>
            </w:r>
          </w:p>
        </w:tc>
        <w:tc>
          <w:tcPr>
            <w:tcW w:w="967" w:type="dxa"/>
            <w:tcBorders>
              <w:top w:val="single" w:sz="4" w:space="0" w:color="auto"/>
              <w:left w:val="single" w:sz="4" w:space="0" w:color="auto"/>
              <w:bottom w:val="single" w:sz="4" w:space="0" w:color="auto"/>
              <w:right w:val="single" w:sz="4" w:space="0" w:color="auto"/>
            </w:tcBorders>
            <w:vAlign w:val="center"/>
            <w:hideMark/>
          </w:tcPr>
          <w:p w14:paraId="08605C52" w14:textId="77777777" w:rsidR="00A83E15" w:rsidRPr="00E44753" w:rsidRDefault="00A83E15" w:rsidP="00E44753">
            <w:pPr>
              <w:rPr>
                <w:sz w:val="16"/>
                <w:szCs w:val="16"/>
              </w:rPr>
            </w:pPr>
            <w:r w:rsidRPr="00E44753">
              <w:rPr>
                <w:sz w:val="16"/>
                <w:szCs w:val="16"/>
              </w:rPr>
              <w:t>5.63±0.16</w:t>
            </w:r>
          </w:p>
        </w:tc>
        <w:tc>
          <w:tcPr>
            <w:tcW w:w="1024" w:type="dxa"/>
            <w:tcBorders>
              <w:top w:val="single" w:sz="4" w:space="0" w:color="auto"/>
              <w:left w:val="single" w:sz="4" w:space="0" w:color="auto"/>
              <w:bottom w:val="single" w:sz="4" w:space="0" w:color="auto"/>
              <w:right w:val="single" w:sz="4" w:space="0" w:color="auto"/>
            </w:tcBorders>
            <w:vAlign w:val="center"/>
            <w:hideMark/>
          </w:tcPr>
          <w:p w14:paraId="73C2637E" w14:textId="77777777" w:rsidR="00A83E15" w:rsidRPr="00E44753" w:rsidRDefault="00A83E15" w:rsidP="00E44753">
            <w:pPr>
              <w:rPr>
                <w:sz w:val="16"/>
                <w:szCs w:val="16"/>
              </w:rPr>
            </w:pPr>
            <w:r w:rsidRPr="00E44753">
              <w:rPr>
                <w:sz w:val="16"/>
                <w:szCs w:val="16"/>
              </w:rPr>
              <w:t>58.52±1.06</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36FD156" w14:textId="77777777" w:rsidR="00A83E15" w:rsidRPr="00E44753" w:rsidRDefault="00A83E15" w:rsidP="00E44753">
            <w:pPr>
              <w:rPr>
                <w:sz w:val="16"/>
                <w:szCs w:val="16"/>
              </w:rPr>
            </w:pPr>
            <w:r w:rsidRPr="00E44753">
              <w:rPr>
                <w:sz w:val="16"/>
                <w:szCs w:val="16"/>
              </w:rPr>
              <w:t>3.45±0.09</w:t>
            </w:r>
          </w:p>
        </w:tc>
        <w:tc>
          <w:tcPr>
            <w:tcW w:w="998" w:type="dxa"/>
            <w:tcBorders>
              <w:top w:val="single" w:sz="4" w:space="0" w:color="auto"/>
              <w:left w:val="single" w:sz="4" w:space="0" w:color="auto"/>
              <w:bottom w:val="single" w:sz="4" w:space="0" w:color="auto"/>
              <w:right w:val="single" w:sz="4" w:space="0" w:color="auto"/>
            </w:tcBorders>
            <w:vAlign w:val="center"/>
            <w:hideMark/>
          </w:tcPr>
          <w:p w14:paraId="73BE8DC1" w14:textId="77777777" w:rsidR="00A83E15" w:rsidRPr="00E44753" w:rsidRDefault="00A83E15" w:rsidP="00E44753">
            <w:pPr>
              <w:rPr>
                <w:sz w:val="16"/>
                <w:szCs w:val="16"/>
              </w:rPr>
            </w:pPr>
            <w:r w:rsidRPr="00E44753">
              <w:rPr>
                <w:sz w:val="16"/>
                <w:szCs w:val="16"/>
              </w:rPr>
              <w:t>1.58±0.10</w:t>
            </w:r>
          </w:p>
        </w:tc>
      </w:tr>
    </w:tbl>
    <w:p w14:paraId="3411A510" w14:textId="1027CA38" w:rsidR="00CA55D9" w:rsidRPr="00CA55D9" w:rsidRDefault="00CA55D9" w:rsidP="00CA55D9">
      <w:pPr>
        <w:jc w:val="both"/>
        <w:rPr>
          <w:rFonts w:ascii="Source Sans Pro" w:hAnsi="Source Sans Pro"/>
          <w:b/>
          <w:i/>
          <w:iCs/>
          <w:color w:val="ED7D31" w:themeColor="accent2"/>
          <w:sz w:val="14"/>
          <w:szCs w:val="14"/>
          <w:lang w:val="en-US" w:eastAsia="en-US"/>
        </w:rPr>
      </w:pPr>
      <w:r w:rsidRPr="00CA55D9">
        <w:rPr>
          <w:rFonts w:ascii="Source Sans Pro" w:hAnsi="Source Sans Pro"/>
          <w:b/>
          <w:i/>
          <w:iCs/>
          <w:color w:val="ED7D31" w:themeColor="accent2"/>
          <w:sz w:val="20"/>
          <w:szCs w:val="18"/>
        </w:rPr>
        <w:t xml:space="preserve">                       </w:t>
      </w:r>
      <w:r>
        <w:rPr>
          <w:rFonts w:ascii="Source Sans Pro" w:hAnsi="Source Sans Pro"/>
          <w:b/>
          <w:i/>
          <w:iCs/>
          <w:color w:val="ED7D31" w:themeColor="accent2"/>
          <w:sz w:val="20"/>
          <w:szCs w:val="18"/>
        </w:rPr>
        <w:t xml:space="preserve">                                                         </w:t>
      </w:r>
      <w:r w:rsidRPr="00CA55D9">
        <w:rPr>
          <w:rFonts w:ascii="Source Sans Pro" w:hAnsi="Source Sans Pro"/>
          <w:b/>
          <w:i/>
          <w:iCs/>
          <w:color w:val="ED7D31" w:themeColor="accent2"/>
          <w:sz w:val="20"/>
          <w:szCs w:val="18"/>
        </w:rPr>
        <w:t>Content (Times New Roman front 8 with Grid lines and left alignment)</w:t>
      </w:r>
    </w:p>
    <w:p w14:paraId="74CC3DB0" w14:textId="77777777" w:rsidR="00A83E15" w:rsidRPr="00E44753" w:rsidRDefault="00A83E15" w:rsidP="00E44753">
      <w:pPr>
        <w:jc w:val="both"/>
        <w:rPr>
          <w:sz w:val="20"/>
          <w:szCs w:val="20"/>
        </w:rPr>
      </w:pPr>
    </w:p>
    <w:p w14:paraId="5A678970" w14:textId="33E8A678" w:rsidR="00225D4A" w:rsidRPr="00277ED3" w:rsidRDefault="00E44753" w:rsidP="00E44753">
      <w:pPr>
        <w:pStyle w:val="Body"/>
        <w:spacing w:after="0" w:line="240" w:lineRule="auto"/>
        <w:jc w:val="both"/>
        <w:rPr>
          <w:rFonts w:ascii="Times New Roman" w:hAnsi="Times New Roman" w:cs="Times New Roman"/>
          <w:szCs w:val="20"/>
        </w:rPr>
      </w:pPr>
      <w:r w:rsidRPr="00277ED3">
        <w:rPr>
          <w:rFonts w:ascii="Times New Roman" w:hAnsi="Times New Roman" w:cs="Times New Roman"/>
          <w:b/>
          <w:bCs/>
          <w:szCs w:val="20"/>
        </w:rPr>
        <w:t xml:space="preserve">DISCUSSION: </w:t>
      </w:r>
      <w:r w:rsidRPr="00CA55D9">
        <w:rPr>
          <w:rFonts w:ascii="Source Sans Pro" w:hAnsi="Source Sans Pro" w:cs="Times New Roman"/>
          <w:b/>
          <w:i/>
          <w:iCs/>
          <w:color w:val="ED7D31" w:themeColor="accent2"/>
          <w:sz w:val="20"/>
          <w:szCs w:val="18"/>
        </w:rPr>
        <w:t>(Times New Roman front 11 Bold Capital)</w:t>
      </w:r>
    </w:p>
    <w:p w14:paraId="51107B4F" w14:textId="33681F90" w:rsidR="00225D4A" w:rsidRPr="00277ED3" w:rsidRDefault="00225D4A" w:rsidP="00E44753">
      <w:pPr>
        <w:pStyle w:val="Body"/>
        <w:spacing w:after="0" w:line="240" w:lineRule="auto"/>
        <w:jc w:val="both"/>
        <w:rPr>
          <w:rFonts w:ascii="Times New Roman" w:eastAsia="Times New Roman" w:hAnsi="Times New Roman" w:cs="Times New Roman"/>
          <w:sz w:val="20"/>
          <w:szCs w:val="20"/>
          <w:bdr w:val="none" w:sz="0" w:space="0" w:color="auto"/>
          <w:lang w:val="en-IN"/>
        </w:rPr>
      </w:pPr>
      <w:r w:rsidRPr="00277ED3">
        <w:rPr>
          <w:rFonts w:ascii="Times New Roman" w:eastAsia="Times New Roman" w:hAnsi="Times New Roman" w:cs="Times New Roman"/>
          <w:sz w:val="20"/>
          <w:szCs w:val="20"/>
          <w:bdr w:val="none" w:sz="0" w:space="0" w:color="auto"/>
          <w:lang w:val="en-IN"/>
        </w:rPr>
        <w:t xml:space="preserve">The Mass </w:t>
      </w:r>
      <w:r w:rsidR="00C658E0" w:rsidRPr="00277ED3">
        <w:rPr>
          <w:rFonts w:ascii="Times New Roman" w:eastAsia="Times New Roman" w:hAnsi="Times New Roman" w:cs="Times New Roman"/>
          <w:sz w:val="20"/>
          <w:szCs w:val="20"/>
          <w:bdr w:val="none" w:sz="0" w:space="0" w:color="auto"/>
          <w:lang w:val="en-IN"/>
        </w:rPr>
        <w:t>spectroscopy results</w:t>
      </w:r>
      <w:r w:rsidRPr="00277ED3">
        <w:rPr>
          <w:rFonts w:ascii="Times New Roman" w:eastAsia="Times New Roman" w:hAnsi="Times New Roman" w:cs="Times New Roman"/>
          <w:sz w:val="20"/>
          <w:szCs w:val="20"/>
          <w:bdr w:val="none" w:sz="0" w:space="0" w:color="auto"/>
          <w:lang w:val="en-IN"/>
        </w:rPr>
        <w:t xml:space="preserve"> indicated that highest mass to charge ratio in mass spectrum created due to the loss of an electron from a molecule, and it is concluded that after functionalization molecular weight was increased compared with pure MWCNT because of attachment of functional groups (OH, C=O) to the FMWCNT that confirms the functionalization.</w:t>
      </w:r>
      <w:r w:rsidR="003B4D32" w:rsidRPr="00277ED3">
        <w:rPr>
          <w:rFonts w:ascii="Times New Roman" w:eastAsia="Times New Roman" w:hAnsi="Times New Roman" w:cs="Times New Roman"/>
          <w:sz w:val="20"/>
          <w:szCs w:val="20"/>
          <w:bdr w:val="none" w:sz="0" w:space="0" w:color="auto"/>
          <w:lang w:val="en-IN"/>
        </w:rPr>
        <w:t xml:space="preserve"> </w:t>
      </w:r>
      <w:r w:rsidRPr="00277ED3">
        <w:rPr>
          <w:rFonts w:ascii="Times New Roman" w:eastAsia="Times New Roman" w:hAnsi="Times New Roman" w:cs="Times New Roman"/>
          <w:sz w:val="20"/>
          <w:szCs w:val="20"/>
          <w:bdr w:val="none" w:sz="0" w:space="0" w:color="auto"/>
          <w:lang w:val="en-IN"/>
        </w:rPr>
        <w:t>From IR results it is observed that oxygen containing groups (OH, C=O) in MWCNTs were present. More absorption peaks were observed in the spectra of functionalized MWCNT because after functionalization oxygen containing and some other groups were attached. It means there might be successfu</w:t>
      </w:r>
      <w:r w:rsidR="00CA3744" w:rsidRPr="00277ED3">
        <w:rPr>
          <w:rFonts w:ascii="Times New Roman" w:eastAsia="Times New Roman" w:hAnsi="Times New Roman" w:cs="Times New Roman"/>
          <w:sz w:val="20"/>
          <w:szCs w:val="20"/>
          <w:bdr w:val="none" w:sz="0" w:space="0" w:color="auto"/>
          <w:lang w:val="en-IN"/>
        </w:rPr>
        <w:t>l functionalization of the tube</w:t>
      </w:r>
      <w:r w:rsidRPr="00277ED3">
        <w:rPr>
          <w:rFonts w:ascii="Times New Roman" w:eastAsia="Times New Roman" w:hAnsi="Times New Roman" w:cs="Times New Roman"/>
          <w:sz w:val="20"/>
          <w:szCs w:val="20"/>
          <w:bdr w:val="none" w:sz="0" w:space="0" w:color="auto"/>
          <w:vertAlign w:val="superscript"/>
          <w:lang w:val="en-IN"/>
        </w:rPr>
        <w:t>31</w:t>
      </w:r>
      <w:r w:rsidRPr="00277ED3">
        <w:rPr>
          <w:rFonts w:ascii="Times New Roman" w:eastAsia="Times New Roman" w:hAnsi="Times New Roman" w:cs="Times New Roman"/>
          <w:sz w:val="20"/>
          <w:szCs w:val="20"/>
          <w:bdr w:val="none" w:sz="0" w:space="0" w:color="auto"/>
          <w:lang w:val="en-IN"/>
        </w:rPr>
        <w:t>. Results of MWCNTs from the current investigation have demonstrated that IR spectra of FMWCNT are instructive on explaining functionality at the surface.</w:t>
      </w:r>
      <w:r w:rsidR="003B4D32" w:rsidRPr="00277ED3">
        <w:rPr>
          <w:rFonts w:ascii="Times New Roman" w:eastAsia="Times New Roman" w:hAnsi="Times New Roman" w:cs="Times New Roman"/>
          <w:sz w:val="20"/>
          <w:szCs w:val="20"/>
          <w:bdr w:val="none" w:sz="0" w:space="0" w:color="auto"/>
          <w:lang w:val="en-IN"/>
        </w:rPr>
        <w:t xml:space="preserve"> </w:t>
      </w:r>
      <w:r w:rsidRPr="00277ED3">
        <w:rPr>
          <w:rFonts w:ascii="Times New Roman" w:eastAsia="Times New Roman" w:hAnsi="Times New Roman" w:cs="Times New Roman"/>
          <w:sz w:val="20"/>
          <w:szCs w:val="20"/>
          <w:bdr w:val="none" w:sz="0" w:space="0" w:color="auto"/>
          <w:lang w:val="en-IN"/>
        </w:rPr>
        <w:t xml:space="preserve">The SEM photographs indicated that cefdinir was loading on the surface. This was confirmed by the comparison of both the figure. The advantage of </w:t>
      </w:r>
      <w:r w:rsidR="00BA1DE9" w:rsidRPr="00277ED3">
        <w:rPr>
          <w:rFonts w:ascii="Times New Roman" w:eastAsia="Times New Roman" w:hAnsi="Times New Roman" w:cs="Times New Roman"/>
          <w:sz w:val="20"/>
          <w:szCs w:val="20"/>
          <w:bdr w:val="none" w:sz="0" w:space="0" w:color="auto"/>
          <w:lang w:val="en-IN"/>
        </w:rPr>
        <w:t>rod-shaped</w:t>
      </w:r>
      <w:r w:rsidRPr="00277ED3">
        <w:rPr>
          <w:rFonts w:ascii="Times New Roman" w:eastAsia="Times New Roman" w:hAnsi="Times New Roman" w:cs="Times New Roman"/>
          <w:sz w:val="20"/>
          <w:szCs w:val="20"/>
          <w:bdr w:val="none" w:sz="0" w:space="0" w:color="auto"/>
          <w:lang w:val="en-IN"/>
        </w:rPr>
        <w:t xml:space="preserve"> flight like particles is that they have a reduced tapped density. Furthermore, there is less contact between particles which results in a better f</w:t>
      </w:r>
      <w:r w:rsidR="00CA3744" w:rsidRPr="00277ED3">
        <w:rPr>
          <w:rFonts w:ascii="Times New Roman" w:eastAsia="Times New Roman" w:hAnsi="Times New Roman" w:cs="Times New Roman"/>
          <w:sz w:val="20"/>
          <w:szCs w:val="20"/>
          <w:bdr w:val="none" w:sz="0" w:space="0" w:color="auto"/>
          <w:lang w:val="en-IN"/>
        </w:rPr>
        <w:t>luidization and lung deposition</w:t>
      </w:r>
      <w:r w:rsidRPr="00277ED3">
        <w:rPr>
          <w:rFonts w:ascii="Times New Roman" w:eastAsia="Times New Roman" w:hAnsi="Times New Roman" w:cs="Times New Roman"/>
          <w:sz w:val="20"/>
          <w:szCs w:val="20"/>
          <w:bdr w:val="none" w:sz="0" w:space="0" w:color="auto"/>
          <w:vertAlign w:val="superscript"/>
          <w:lang w:val="en-IN"/>
        </w:rPr>
        <w:t>32</w:t>
      </w:r>
      <w:r w:rsidRPr="00277ED3">
        <w:rPr>
          <w:rFonts w:ascii="Times New Roman" w:eastAsia="Times New Roman" w:hAnsi="Times New Roman" w:cs="Times New Roman"/>
          <w:sz w:val="20"/>
          <w:szCs w:val="20"/>
          <w:bdr w:val="none" w:sz="0" w:space="0" w:color="auto"/>
          <w:lang w:val="en-IN"/>
        </w:rPr>
        <w:t>.There was a notable difference observed. Encapsulation efficiency for F-CEF FMWCNT-DPI was less than C-CEF-DPI, which means that it was effective in maintaining the drug inside or surface bonding during the process of drug loading. The tapped density of each powder can be used to predict both its flow properties and respirable fraction. Lowering the tapped density of the dry powders considerably enhances the respirable fraction. Carr's Index, Hausner ratio, and angle of repose commonly considered as proper criteria for the estimation of the flow properties of solids. The formulation exhibiting good flow properties displayed be</w:t>
      </w:r>
      <w:r w:rsidR="006769FB" w:rsidRPr="00277ED3">
        <w:rPr>
          <w:rFonts w:ascii="Times New Roman" w:eastAsia="Times New Roman" w:hAnsi="Times New Roman" w:cs="Times New Roman"/>
          <w:sz w:val="20"/>
          <w:szCs w:val="20"/>
          <w:bdr w:val="none" w:sz="0" w:space="0" w:color="auto"/>
          <w:lang w:val="en-IN"/>
        </w:rPr>
        <w:t>tter deposition characteristics</w:t>
      </w:r>
      <w:r w:rsidRPr="00277ED3">
        <w:rPr>
          <w:rFonts w:ascii="Times New Roman" w:eastAsia="Times New Roman" w:hAnsi="Times New Roman" w:cs="Times New Roman"/>
          <w:sz w:val="20"/>
          <w:szCs w:val="20"/>
          <w:bdr w:val="none" w:sz="0" w:space="0" w:color="auto"/>
          <w:lang w:val="en-IN"/>
        </w:rPr>
        <w:t>. The higher drug content (more than 98 %) was observed due to tight encapsulation of drugs with FMWCNT due to a higher acceptance ratio of it during drug loading, and also during freeze-drying, there was no drug loss observed.</w:t>
      </w:r>
      <w:r w:rsidR="00896611" w:rsidRPr="00277ED3">
        <w:rPr>
          <w:rFonts w:ascii="Times New Roman" w:eastAsia="Times New Roman" w:hAnsi="Times New Roman" w:cs="Times New Roman"/>
          <w:sz w:val="20"/>
          <w:szCs w:val="20"/>
          <w:bdr w:val="none" w:sz="0" w:space="0" w:color="auto"/>
          <w:lang w:val="en-IN"/>
        </w:rPr>
        <w:t xml:space="preserve"> </w:t>
      </w:r>
      <w:r w:rsidRPr="00277ED3">
        <w:rPr>
          <w:rFonts w:ascii="Times New Roman" w:eastAsia="Times New Roman" w:hAnsi="Times New Roman" w:cs="Times New Roman"/>
          <w:sz w:val="20"/>
          <w:szCs w:val="20"/>
          <w:bdr w:val="none" w:sz="0" w:space="0" w:color="auto"/>
          <w:lang w:val="en-IN"/>
        </w:rPr>
        <w:t xml:space="preserve">Particle size in the range of 1-6 </w:t>
      </w:r>
      <w:proofErr w:type="spellStart"/>
      <w:r w:rsidRPr="00277ED3">
        <w:rPr>
          <w:rFonts w:ascii="Times New Roman" w:eastAsia="Times New Roman" w:hAnsi="Times New Roman" w:cs="Times New Roman"/>
          <w:sz w:val="20"/>
          <w:szCs w:val="20"/>
          <w:bdr w:val="none" w:sz="0" w:space="0" w:color="auto"/>
          <w:lang w:val="en-IN"/>
        </w:rPr>
        <w:t>μm</w:t>
      </w:r>
      <w:proofErr w:type="spellEnd"/>
      <w:r w:rsidRPr="00277ED3">
        <w:rPr>
          <w:rFonts w:ascii="Times New Roman" w:eastAsia="Times New Roman" w:hAnsi="Times New Roman" w:cs="Times New Roman"/>
          <w:sz w:val="20"/>
          <w:szCs w:val="20"/>
          <w:bdr w:val="none" w:sz="0" w:space="0" w:color="auto"/>
          <w:lang w:val="en-IN"/>
        </w:rPr>
        <w:t xml:space="preserve"> has a vital role to get more deposition in the lung. Particles less than 1 </w:t>
      </w:r>
      <w:proofErr w:type="spellStart"/>
      <w:r w:rsidRPr="00277ED3">
        <w:rPr>
          <w:rFonts w:ascii="Times New Roman" w:eastAsia="Times New Roman" w:hAnsi="Times New Roman" w:cs="Times New Roman"/>
          <w:sz w:val="20"/>
          <w:szCs w:val="20"/>
          <w:bdr w:val="none" w:sz="0" w:space="0" w:color="auto"/>
          <w:lang w:val="en-IN"/>
        </w:rPr>
        <w:t>μm</w:t>
      </w:r>
      <w:proofErr w:type="spellEnd"/>
      <w:r w:rsidR="00896611" w:rsidRPr="00277ED3">
        <w:rPr>
          <w:rFonts w:ascii="Times New Roman" w:eastAsia="Times New Roman" w:hAnsi="Times New Roman" w:cs="Times New Roman"/>
          <w:sz w:val="20"/>
          <w:szCs w:val="20"/>
          <w:bdr w:val="none" w:sz="0" w:space="0" w:color="auto"/>
          <w:lang w:val="en-IN"/>
        </w:rPr>
        <w:t xml:space="preserve"> </w:t>
      </w:r>
      <w:r w:rsidRPr="00277ED3">
        <w:rPr>
          <w:rFonts w:ascii="Times New Roman" w:eastAsia="Times New Roman" w:hAnsi="Times New Roman" w:cs="Times New Roman"/>
          <w:sz w:val="20"/>
          <w:szCs w:val="20"/>
          <w:bdr w:val="none" w:sz="0" w:space="0" w:color="auto"/>
          <w:lang w:val="en-IN"/>
        </w:rPr>
        <w:t xml:space="preserve">shows less deposition efficiency and more than 6 </w:t>
      </w:r>
      <w:proofErr w:type="spellStart"/>
      <w:r w:rsidR="00C86540" w:rsidRPr="00277ED3">
        <w:rPr>
          <w:rFonts w:ascii="Times New Roman" w:eastAsia="Times New Roman" w:hAnsi="Times New Roman" w:cs="Times New Roman"/>
          <w:sz w:val="20"/>
          <w:szCs w:val="20"/>
          <w:bdr w:val="none" w:sz="0" w:space="0" w:color="auto"/>
          <w:lang w:val="en-IN"/>
        </w:rPr>
        <w:t>μm</w:t>
      </w:r>
      <w:proofErr w:type="spellEnd"/>
      <w:r w:rsidR="00C86540" w:rsidRPr="00277ED3">
        <w:rPr>
          <w:rFonts w:ascii="Times New Roman" w:eastAsia="Times New Roman" w:hAnsi="Times New Roman" w:cs="Times New Roman"/>
          <w:sz w:val="20"/>
          <w:szCs w:val="20"/>
          <w:bdr w:val="none" w:sz="0" w:space="0" w:color="auto"/>
          <w:lang w:val="en-IN"/>
        </w:rPr>
        <w:t xml:space="preserve"> are deposited in the throat</w:t>
      </w:r>
      <w:r w:rsidRPr="00277ED3">
        <w:rPr>
          <w:rFonts w:ascii="Times New Roman" w:eastAsia="Times New Roman" w:hAnsi="Times New Roman" w:cs="Times New Roman"/>
          <w:sz w:val="20"/>
          <w:szCs w:val="20"/>
          <w:bdr w:val="none" w:sz="0" w:space="0" w:color="auto"/>
          <w:vertAlign w:val="superscript"/>
          <w:lang w:val="en-IN"/>
        </w:rPr>
        <w:t>20</w:t>
      </w:r>
      <w:r w:rsidRPr="00277ED3">
        <w:rPr>
          <w:rFonts w:ascii="Times New Roman" w:eastAsia="Times New Roman" w:hAnsi="Times New Roman" w:cs="Times New Roman"/>
          <w:sz w:val="20"/>
          <w:szCs w:val="20"/>
          <w:bdr w:val="none" w:sz="0" w:space="0" w:color="auto"/>
          <w:lang w:val="en-IN"/>
        </w:rPr>
        <w:t xml:space="preserve">. Because of this, from the results it can be stated that F-CEF </w:t>
      </w:r>
      <w:r w:rsidRPr="00277ED3">
        <w:rPr>
          <w:rFonts w:ascii="Times New Roman" w:eastAsia="Times New Roman" w:hAnsi="Times New Roman" w:cs="Times New Roman"/>
          <w:sz w:val="20"/>
          <w:szCs w:val="20"/>
          <w:bdr w:val="none" w:sz="0" w:space="0" w:color="auto"/>
          <w:lang w:val="en-IN"/>
        </w:rPr>
        <w:lastRenderedPageBreak/>
        <w:t xml:space="preserve">FMWCNT-DPI showed particle size in the ideal range and C-DPI it was more than 6 </w:t>
      </w:r>
      <w:proofErr w:type="spellStart"/>
      <w:r w:rsidRPr="00277ED3">
        <w:rPr>
          <w:rFonts w:ascii="Times New Roman" w:eastAsia="Times New Roman" w:hAnsi="Times New Roman" w:cs="Times New Roman"/>
          <w:sz w:val="20"/>
          <w:szCs w:val="20"/>
          <w:bdr w:val="none" w:sz="0" w:space="0" w:color="auto"/>
          <w:lang w:val="en-IN"/>
        </w:rPr>
        <w:t>μm</w:t>
      </w:r>
      <w:proofErr w:type="spellEnd"/>
      <w:r w:rsidRPr="00277ED3">
        <w:rPr>
          <w:rFonts w:ascii="Times New Roman" w:eastAsia="Times New Roman" w:hAnsi="Times New Roman" w:cs="Times New Roman"/>
          <w:sz w:val="20"/>
          <w:szCs w:val="20"/>
          <w:bdr w:val="none" w:sz="0" w:space="0" w:color="auto"/>
          <w:lang w:val="en-IN"/>
        </w:rPr>
        <w:t>, thus deposited in the throat.</w:t>
      </w:r>
    </w:p>
    <w:p w14:paraId="00575594" w14:textId="77777777" w:rsidR="00E44753" w:rsidRPr="00277ED3" w:rsidRDefault="00E44753" w:rsidP="00E44753">
      <w:pPr>
        <w:pStyle w:val="Body"/>
        <w:spacing w:after="0" w:line="240" w:lineRule="auto"/>
        <w:jc w:val="both"/>
        <w:rPr>
          <w:rFonts w:ascii="Times New Roman" w:eastAsia="Times New Roman" w:hAnsi="Times New Roman" w:cs="Times New Roman"/>
          <w:sz w:val="20"/>
          <w:szCs w:val="20"/>
          <w:bdr w:val="none" w:sz="0" w:space="0" w:color="auto"/>
          <w:lang w:val="en-IN"/>
        </w:rPr>
      </w:pPr>
    </w:p>
    <w:p w14:paraId="317AB402" w14:textId="3A7368D9" w:rsidR="00225D4A" w:rsidRPr="00277ED3" w:rsidRDefault="00225D4A" w:rsidP="00E44753">
      <w:pPr>
        <w:pStyle w:val="Body"/>
        <w:spacing w:after="0" w:line="240" w:lineRule="auto"/>
        <w:jc w:val="both"/>
        <w:rPr>
          <w:rFonts w:ascii="Times New Roman" w:eastAsia="Times New Roman" w:hAnsi="Times New Roman" w:cs="Times New Roman"/>
          <w:sz w:val="20"/>
          <w:szCs w:val="20"/>
          <w:bdr w:val="none" w:sz="0" w:space="0" w:color="auto"/>
          <w:lang w:val="en-IN"/>
        </w:rPr>
      </w:pPr>
      <w:r w:rsidRPr="00277ED3">
        <w:rPr>
          <w:rFonts w:ascii="Times New Roman" w:eastAsia="Times New Roman" w:hAnsi="Times New Roman" w:cs="Times New Roman"/>
          <w:sz w:val="20"/>
          <w:szCs w:val="20"/>
          <w:bdr w:val="none" w:sz="0" w:space="0" w:color="auto"/>
          <w:lang w:val="en-IN"/>
        </w:rPr>
        <w:t>In vitro release study</w:t>
      </w:r>
      <w:r w:rsidR="00896611" w:rsidRPr="00277ED3">
        <w:rPr>
          <w:rFonts w:ascii="Times New Roman" w:eastAsia="Times New Roman" w:hAnsi="Times New Roman" w:cs="Times New Roman"/>
          <w:sz w:val="20"/>
          <w:szCs w:val="20"/>
          <w:bdr w:val="none" w:sz="0" w:space="0" w:color="auto"/>
          <w:lang w:val="en-IN"/>
        </w:rPr>
        <w:t xml:space="preserve"> </w:t>
      </w:r>
      <w:r w:rsidRPr="00277ED3">
        <w:rPr>
          <w:rFonts w:ascii="Times New Roman" w:eastAsia="Times New Roman" w:hAnsi="Times New Roman" w:cs="Times New Roman"/>
          <w:sz w:val="20"/>
          <w:szCs w:val="20"/>
          <w:bdr w:val="none" w:sz="0" w:space="0" w:color="auto"/>
          <w:lang w:val="en-IN"/>
        </w:rPr>
        <w:t xml:space="preserve">F-CEF FMWCNT DPI showed the best drug release for up to 15 hours whereas the other groups showed release up to 3 hours and then stopped. The controlled release of all three groups is shown in figure </w:t>
      </w:r>
      <w:r w:rsidR="00D529FD" w:rsidRPr="00277ED3">
        <w:rPr>
          <w:rFonts w:ascii="Times New Roman" w:eastAsia="Times New Roman" w:hAnsi="Times New Roman" w:cs="Times New Roman"/>
          <w:sz w:val="20"/>
          <w:szCs w:val="20"/>
          <w:bdr w:val="none" w:sz="0" w:space="0" w:color="auto"/>
          <w:lang w:val="en-IN"/>
        </w:rPr>
        <w:t>5</w:t>
      </w:r>
      <w:r w:rsidRPr="00277ED3">
        <w:rPr>
          <w:rFonts w:ascii="Times New Roman" w:eastAsia="Times New Roman" w:hAnsi="Times New Roman" w:cs="Times New Roman"/>
          <w:sz w:val="20"/>
          <w:szCs w:val="20"/>
          <w:bdr w:val="none" w:sz="0" w:space="0" w:color="auto"/>
          <w:lang w:val="en-IN"/>
        </w:rPr>
        <w:t>. The controlled release pattern would be responsible for longer retention an</w:t>
      </w:r>
      <w:r w:rsidR="007A6007" w:rsidRPr="00277ED3">
        <w:rPr>
          <w:rFonts w:ascii="Times New Roman" w:eastAsia="Times New Roman" w:hAnsi="Times New Roman" w:cs="Times New Roman"/>
          <w:sz w:val="20"/>
          <w:szCs w:val="20"/>
          <w:bdr w:val="none" w:sz="0" w:space="0" w:color="auto"/>
          <w:lang w:val="en-IN"/>
        </w:rPr>
        <w:t>d improved efficacy of cefdinir</w:t>
      </w:r>
      <w:r w:rsidRPr="00277ED3">
        <w:rPr>
          <w:rFonts w:ascii="Times New Roman" w:eastAsia="Times New Roman" w:hAnsi="Times New Roman" w:cs="Times New Roman"/>
          <w:sz w:val="20"/>
          <w:szCs w:val="20"/>
          <w:bdr w:val="none" w:sz="0" w:space="0" w:color="auto"/>
          <w:lang w:val="en-IN"/>
        </w:rPr>
        <w:t>.</w:t>
      </w:r>
      <w:r w:rsidR="00467E96">
        <w:rPr>
          <w:rFonts w:ascii="Times New Roman" w:eastAsia="Times New Roman" w:hAnsi="Times New Roman" w:cs="Times New Roman"/>
          <w:sz w:val="20"/>
          <w:szCs w:val="20"/>
          <w:bdr w:val="none" w:sz="0" w:space="0" w:color="auto"/>
          <w:lang w:val="en-IN"/>
        </w:rPr>
        <w:t xml:space="preserve"> </w:t>
      </w:r>
      <w:r w:rsidRPr="00277ED3">
        <w:rPr>
          <w:rFonts w:ascii="Times New Roman" w:eastAsia="Times New Roman" w:hAnsi="Times New Roman" w:cs="Times New Roman"/>
          <w:sz w:val="20"/>
          <w:szCs w:val="20"/>
          <w:bdr w:val="none" w:sz="0" w:space="0" w:color="auto"/>
          <w:lang w:val="en-IN"/>
        </w:rPr>
        <w:t>Stability study samples of F-CEF FMWCNT-DPI after storage for 3 months didn’t show any notable</w:t>
      </w:r>
      <w:r w:rsidR="00D11162" w:rsidRPr="00277ED3">
        <w:rPr>
          <w:rFonts w:ascii="Times New Roman" w:eastAsia="Times New Roman" w:hAnsi="Times New Roman" w:cs="Times New Roman"/>
          <w:sz w:val="20"/>
          <w:szCs w:val="20"/>
          <w:bdr w:val="none" w:sz="0" w:space="0" w:color="auto"/>
          <w:lang w:val="en-IN"/>
        </w:rPr>
        <w:t xml:space="preserve"> </w:t>
      </w:r>
      <w:r w:rsidRPr="00277ED3">
        <w:rPr>
          <w:rFonts w:ascii="Times New Roman" w:eastAsia="Times New Roman" w:hAnsi="Times New Roman" w:cs="Times New Roman"/>
          <w:sz w:val="20"/>
          <w:szCs w:val="20"/>
          <w:bdr w:val="none" w:sz="0" w:space="0" w:color="auto"/>
          <w:lang w:val="en-IN"/>
        </w:rPr>
        <w:t xml:space="preserve">difference in the drug content and particle size. From the results of the stability </w:t>
      </w:r>
      <w:r w:rsidR="00CA55D9" w:rsidRPr="00277ED3">
        <w:rPr>
          <w:rFonts w:ascii="Times New Roman" w:eastAsia="Times New Roman" w:hAnsi="Times New Roman" w:cs="Times New Roman"/>
          <w:sz w:val="20"/>
          <w:szCs w:val="20"/>
          <w:bdr w:val="none" w:sz="0" w:space="0" w:color="auto"/>
          <w:lang w:val="en-IN"/>
        </w:rPr>
        <w:t>study,</w:t>
      </w:r>
      <w:r w:rsidRPr="00277ED3">
        <w:rPr>
          <w:rFonts w:ascii="Times New Roman" w:eastAsia="Times New Roman" w:hAnsi="Times New Roman" w:cs="Times New Roman"/>
          <w:sz w:val="20"/>
          <w:szCs w:val="20"/>
          <w:bdr w:val="none" w:sz="0" w:space="0" w:color="auto"/>
          <w:lang w:val="en-IN"/>
        </w:rPr>
        <w:t xml:space="preserve"> it is concluded that the F-CEF FMWCNT-DPI is stable without showing any variations in the drug content and particle size as shown in</w:t>
      </w:r>
      <w:r w:rsidR="000558FD" w:rsidRPr="00277ED3">
        <w:rPr>
          <w:rFonts w:ascii="Times New Roman" w:eastAsia="Times New Roman" w:hAnsi="Times New Roman" w:cs="Times New Roman"/>
          <w:sz w:val="20"/>
          <w:szCs w:val="20"/>
          <w:bdr w:val="none" w:sz="0" w:space="0" w:color="auto"/>
          <w:lang w:val="en-IN"/>
        </w:rPr>
        <w:t xml:space="preserve"> (</w:t>
      </w:r>
      <w:r w:rsidR="0091444E" w:rsidRPr="00277ED3">
        <w:rPr>
          <w:rFonts w:ascii="Times New Roman" w:eastAsia="Times New Roman" w:hAnsi="Times New Roman" w:cs="Times New Roman"/>
          <w:sz w:val="20"/>
          <w:szCs w:val="20"/>
          <w:bdr w:val="none" w:sz="0" w:space="0" w:color="auto"/>
          <w:lang w:val="en-IN"/>
        </w:rPr>
        <w:t xml:space="preserve">table </w:t>
      </w:r>
      <w:r w:rsidR="00CE3931" w:rsidRPr="00277ED3">
        <w:rPr>
          <w:rFonts w:ascii="Times New Roman" w:eastAsia="Times New Roman" w:hAnsi="Times New Roman" w:cs="Times New Roman"/>
          <w:sz w:val="20"/>
          <w:szCs w:val="20"/>
          <w:bdr w:val="none" w:sz="0" w:space="0" w:color="auto"/>
          <w:lang w:val="en-IN"/>
        </w:rPr>
        <w:t>2</w:t>
      </w:r>
      <w:r w:rsidR="000558FD" w:rsidRPr="00277ED3">
        <w:rPr>
          <w:rFonts w:ascii="Times New Roman" w:eastAsia="Times New Roman" w:hAnsi="Times New Roman" w:cs="Times New Roman"/>
          <w:sz w:val="20"/>
          <w:szCs w:val="20"/>
          <w:bdr w:val="none" w:sz="0" w:space="0" w:color="auto"/>
          <w:lang w:val="en-IN"/>
        </w:rPr>
        <w:t>)</w:t>
      </w:r>
      <w:r w:rsidRPr="00277ED3">
        <w:rPr>
          <w:rFonts w:ascii="Times New Roman" w:eastAsia="Times New Roman" w:hAnsi="Times New Roman" w:cs="Times New Roman"/>
          <w:sz w:val="20"/>
          <w:szCs w:val="20"/>
          <w:bdr w:val="none" w:sz="0" w:space="0" w:color="auto"/>
          <w:lang w:val="en-IN"/>
        </w:rPr>
        <w:t>.</w:t>
      </w:r>
    </w:p>
    <w:p w14:paraId="4B586EC5" w14:textId="4577BD68" w:rsidR="00E44753" w:rsidRPr="00E44753" w:rsidRDefault="00A83E15" w:rsidP="00E44753">
      <w:pPr>
        <w:jc w:val="both"/>
        <w:rPr>
          <w:b/>
          <w:sz w:val="16"/>
          <w:szCs w:val="16"/>
          <w:lang w:val="en-US" w:eastAsia="en-US"/>
        </w:rPr>
      </w:pPr>
      <w:r w:rsidRPr="00E44753">
        <w:rPr>
          <w:b/>
          <w:bCs/>
          <w:sz w:val="16"/>
          <w:szCs w:val="12"/>
        </w:rPr>
        <w:t xml:space="preserve">Table </w:t>
      </w:r>
      <w:r w:rsidR="00CA55D9" w:rsidRPr="00E44753">
        <w:rPr>
          <w:b/>
          <w:bCs/>
          <w:sz w:val="16"/>
          <w:szCs w:val="12"/>
        </w:rPr>
        <w:t>2.</w:t>
      </w:r>
      <w:r w:rsidR="00CA55D9" w:rsidRPr="00E44753">
        <w:rPr>
          <w:b/>
          <w:bCs/>
          <w:i/>
          <w:sz w:val="16"/>
          <w:szCs w:val="12"/>
        </w:rPr>
        <w:t xml:space="preserve"> In</w:t>
      </w:r>
      <w:r w:rsidRPr="00E44753">
        <w:rPr>
          <w:b/>
          <w:bCs/>
          <w:i/>
          <w:sz w:val="16"/>
          <w:szCs w:val="12"/>
        </w:rPr>
        <w:t xml:space="preserve"> vitro</w:t>
      </w:r>
      <w:r w:rsidRPr="00E44753">
        <w:rPr>
          <w:b/>
          <w:bCs/>
          <w:sz w:val="16"/>
          <w:szCs w:val="12"/>
        </w:rPr>
        <w:t xml:space="preserve"> release kinetics</w:t>
      </w:r>
      <w:r w:rsidR="00E44753" w:rsidRPr="00E44753">
        <w:rPr>
          <w:b/>
          <w:bCs/>
          <w:sz w:val="16"/>
          <w:szCs w:val="12"/>
        </w:rPr>
        <w:t xml:space="preserve"> </w:t>
      </w:r>
      <w:r w:rsidR="00E44753" w:rsidRPr="00CA55D9">
        <w:rPr>
          <w:rFonts w:ascii="Source Sans Pro" w:hAnsi="Source Sans Pro"/>
          <w:b/>
          <w:i/>
          <w:iCs/>
          <w:color w:val="ED7D31" w:themeColor="accent2"/>
          <w:sz w:val="20"/>
          <w:szCs w:val="20"/>
        </w:rPr>
        <w:t>(Times New Roman front 8 Bold)</w:t>
      </w:r>
      <w:r w:rsidR="00E44753" w:rsidRPr="00CA55D9">
        <w:rPr>
          <w:bCs/>
          <w:color w:val="ED7D31" w:themeColor="accent2"/>
          <w:sz w:val="22"/>
          <w:szCs w:val="20"/>
        </w:rPr>
        <w:t xml:space="preserve"> </w:t>
      </w:r>
    </w:p>
    <w:p w14:paraId="1A9E4CB7" w14:textId="77777777" w:rsidR="00A83E15" w:rsidRPr="00E44753" w:rsidRDefault="00A83E15" w:rsidP="00E44753">
      <w:pPr>
        <w:rPr>
          <w:b/>
          <w:bCs/>
          <w:sz w:val="16"/>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226"/>
        <w:gridCol w:w="1217"/>
        <w:gridCol w:w="1062"/>
        <w:gridCol w:w="1024"/>
      </w:tblGrid>
      <w:tr w:rsidR="00A83E15" w:rsidRPr="00E44753" w14:paraId="644ECD7C" w14:textId="77777777" w:rsidTr="000E0CBB">
        <w:trPr>
          <w:jc w:val="center"/>
        </w:trPr>
        <w:tc>
          <w:tcPr>
            <w:tcW w:w="1847" w:type="dxa"/>
            <w:vAlign w:val="center"/>
          </w:tcPr>
          <w:p w14:paraId="45F1D774" w14:textId="77777777" w:rsidR="00A83E15" w:rsidRPr="00E44753" w:rsidRDefault="00A83E15" w:rsidP="00E44753">
            <w:pPr>
              <w:rPr>
                <w:sz w:val="16"/>
                <w:szCs w:val="16"/>
              </w:rPr>
            </w:pPr>
            <w:r w:rsidRPr="00E44753">
              <w:rPr>
                <w:sz w:val="16"/>
                <w:szCs w:val="16"/>
              </w:rPr>
              <w:t>Formulation</w:t>
            </w:r>
          </w:p>
        </w:tc>
        <w:tc>
          <w:tcPr>
            <w:tcW w:w="1226" w:type="dxa"/>
            <w:vAlign w:val="center"/>
          </w:tcPr>
          <w:p w14:paraId="69E36836" w14:textId="77777777" w:rsidR="00A83E15" w:rsidRPr="00E44753" w:rsidRDefault="00A83E15" w:rsidP="00E44753">
            <w:pPr>
              <w:rPr>
                <w:sz w:val="16"/>
                <w:szCs w:val="16"/>
              </w:rPr>
            </w:pPr>
            <w:r w:rsidRPr="00E44753">
              <w:rPr>
                <w:sz w:val="16"/>
                <w:szCs w:val="16"/>
              </w:rPr>
              <w:t>Zero order (r</w:t>
            </w:r>
            <w:r w:rsidRPr="00E44753">
              <w:rPr>
                <w:sz w:val="16"/>
                <w:szCs w:val="16"/>
                <w:vertAlign w:val="superscript"/>
              </w:rPr>
              <w:t>2</w:t>
            </w:r>
            <w:r w:rsidRPr="00E44753">
              <w:rPr>
                <w:sz w:val="16"/>
                <w:szCs w:val="16"/>
              </w:rPr>
              <w:t>)</w:t>
            </w:r>
          </w:p>
        </w:tc>
        <w:tc>
          <w:tcPr>
            <w:tcW w:w="1217" w:type="dxa"/>
            <w:vAlign w:val="center"/>
          </w:tcPr>
          <w:p w14:paraId="5421CF1C" w14:textId="77777777" w:rsidR="00A83E15" w:rsidRPr="00E44753" w:rsidRDefault="00A83E15" w:rsidP="00E44753">
            <w:pPr>
              <w:rPr>
                <w:sz w:val="16"/>
                <w:szCs w:val="16"/>
              </w:rPr>
            </w:pPr>
            <w:r w:rsidRPr="00E44753">
              <w:rPr>
                <w:sz w:val="16"/>
                <w:szCs w:val="16"/>
              </w:rPr>
              <w:t>First order (r</w:t>
            </w:r>
            <w:r w:rsidRPr="00E44753">
              <w:rPr>
                <w:sz w:val="16"/>
                <w:szCs w:val="16"/>
                <w:vertAlign w:val="superscript"/>
              </w:rPr>
              <w:t>2</w:t>
            </w:r>
            <w:r w:rsidRPr="00E44753">
              <w:rPr>
                <w:sz w:val="16"/>
                <w:szCs w:val="16"/>
              </w:rPr>
              <w:t>)</w:t>
            </w:r>
          </w:p>
        </w:tc>
        <w:tc>
          <w:tcPr>
            <w:tcW w:w="1062" w:type="dxa"/>
            <w:vAlign w:val="center"/>
          </w:tcPr>
          <w:p w14:paraId="301349CD" w14:textId="77777777" w:rsidR="00A83E15" w:rsidRPr="00E44753" w:rsidRDefault="00A83E15" w:rsidP="00E44753">
            <w:pPr>
              <w:rPr>
                <w:sz w:val="16"/>
                <w:szCs w:val="16"/>
              </w:rPr>
            </w:pPr>
            <w:r w:rsidRPr="00E44753">
              <w:rPr>
                <w:sz w:val="16"/>
                <w:szCs w:val="16"/>
              </w:rPr>
              <w:t>Higuchi (r</w:t>
            </w:r>
            <w:r w:rsidRPr="00E44753">
              <w:rPr>
                <w:sz w:val="16"/>
                <w:szCs w:val="16"/>
                <w:vertAlign w:val="superscript"/>
              </w:rPr>
              <w:t>2</w:t>
            </w:r>
            <w:r w:rsidRPr="00E44753">
              <w:rPr>
                <w:sz w:val="16"/>
                <w:szCs w:val="16"/>
              </w:rPr>
              <w:t>)</w:t>
            </w:r>
          </w:p>
        </w:tc>
        <w:tc>
          <w:tcPr>
            <w:tcW w:w="1024" w:type="dxa"/>
            <w:vAlign w:val="center"/>
          </w:tcPr>
          <w:p w14:paraId="6F031523" w14:textId="77777777" w:rsidR="00A83E15" w:rsidRPr="00E44753" w:rsidRDefault="00A83E15" w:rsidP="00E44753">
            <w:pPr>
              <w:rPr>
                <w:sz w:val="16"/>
                <w:szCs w:val="16"/>
              </w:rPr>
            </w:pPr>
            <w:r w:rsidRPr="00E44753">
              <w:rPr>
                <w:sz w:val="16"/>
                <w:szCs w:val="16"/>
              </w:rPr>
              <w:t>Peppas (r</w:t>
            </w:r>
            <w:r w:rsidRPr="00E44753">
              <w:rPr>
                <w:sz w:val="16"/>
                <w:szCs w:val="16"/>
                <w:vertAlign w:val="superscript"/>
              </w:rPr>
              <w:t>2</w:t>
            </w:r>
            <w:r w:rsidRPr="00E44753">
              <w:rPr>
                <w:sz w:val="16"/>
                <w:szCs w:val="16"/>
              </w:rPr>
              <w:t>)</w:t>
            </w:r>
          </w:p>
        </w:tc>
      </w:tr>
      <w:tr w:rsidR="00A83E15" w:rsidRPr="00E44753" w14:paraId="2C74EB67" w14:textId="77777777" w:rsidTr="000E0CBB">
        <w:trPr>
          <w:jc w:val="center"/>
        </w:trPr>
        <w:tc>
          <w:tcPr>
            <w:tcW w:w="1847" w:type="dxa"/>
            <w:vAlign w:val="center"/>
          </w:tcPr>
          <w:p w14:paraId="3E2DEBEF" w14:textId="77777777" w:rsidR="00A83E15" w:rsidRPr="00E44753" w:rsidRDefault="00A83E15" w:rsidP="00E44753">
            <w:pPr>
              <w:rPr>
                <w:sz w:val="16"/>
                <w:szCs w:val="16"/>
              </w:rPr>
            </w:pPr>
            <w:r w:rsidRPr="00E44753">
              <w:rPr>
                <w:sz w:val="16"/>
                <w:szCs w:val="16"/>
              </w:rPr>
              <w:t>Formulated DPI</w:t>
            </w:r>
          </w:p>
        </w:tc>
        <w:tc>
          <w:tcPr>
            <w:tcW w:w="1226" w:type="dxa"/>
            <w:vAlign w:val="center"/>
          </w:tcPr>
          <w:p w14:paraId="02C0FA28" w14:textId="77777777" w:rsidR="00A83E15" w:rsidRPr="00E44753" w:rsidRDefault="00A83E15" w:rsidP="00E44753">
            <w:pPr>
              <w:rPr>
                <w:sz w:val="16"/>
                <w:szCs w:val="16"/>
              </w:rPr>
            </w:pPr>
            <w:r w:rsidRPr="00E44753">
              <w:rPr>
                <w:sz w:val="16"/>
                <w:szCs w:val="16"/>
              </w:rPr>
              <w:t>0.93 ± 0.09</w:t>
            </w:r>
          </w:p>
        </w:tc>
        <w:tc>
          <w:tcPr>
            <w:tcW w:w="1217" w:type="dxa"/>
            <w:vAlign w:val="center"/>
          </w:tcPr>
          <w:p w14:paraId="40498B33" w14:textId="77777777" w:rsidR="00A83E15" w:rsidRPr="00E44753" w:rsidRDefault="00A83E15" w:rsidP="00E44753">
            <w:pPr>
              <w:rPr>
                <w:sz w:val="16"/>
                <w:szCs w:val="16"/>
              </w:rPr>
            </w:pPr>
            <w:r w:rsidRPr="00E44753">
              <w:rPr>
                <w:sz w:val="16"/>
                <w:szCs w:val="16"/>
              </w:rPr>
              <w:t>0.79 ± 0.08</w:t>
            </w:r>
          </w:p>
        </w:tc>
        <w:tc>
          <w:tcPr>
            <w:tcW w:w="1062" w:type="dxa"/>
            <w:vAlign w:val="center"/>
          </w:tcPr>
          <w:p w14:paraId="606E05FC" w14:textId="77777777" w:rsidR="00A83E15" w:rsidRPr="00E44753" w:rsidRDefault="00A83E15" w:rsidP="00E44753">
            <w:pPr>
              <w:rPr>
                <w:sz w:val="16"/>
                <w:szCs w:val="16"/>
              </w:rPr>
            </w:pPr>
            <w:r w:rsidRPr="00E44753">
              <w:rPr>
                <w:sz w:val="16"/>
                <w:szCs w:val="16"/>
              </w:rPr>
              <w:t>0.95 ± 0.13</w:t>
            </w:r>
          </w:p>
        </w:tc>
        <w:tc>
          <w:tcPr>
            <w:tcW w:w="1024" w:type="dxa"/>
            <w:vAlign w:val="center"/>
          </w:tcPr>
          <w:p w14:paraId="77E878F3" w14:textId="77777777" w:rsidR="00A83E15" w:rsidRPr="00E44753" w:rsidRDefault="00A83E15" w:rsidP="00E44753">
            <w:pPr>
              <w:rPr>
                <w:sz w:val="16"/>
                <w:szCs w:val="16"/>
              </w:rPr>
            </w:pPr>
            <w:r w:rsidRPr="00E44753">
              <w:rPr>
                <w:sz w:val="16"/>
                <w:szCs w:val="16"/>
              </w:rPr>
              <w:t>0.90 ± 0.11</w:t>
            </w:r>
          </w:p>
        </w:tc>
      </w:tr>
      <w:tr w:rsidR="00A83E15" w:rsidRPr="00E44753" w14:paraId="169A4998" w14:textId="77777777" w:rsidTr="000E0CBB">
        <w:trPr>
          <w:jc w:val="center"/>
        </w:trPr>
        <w:tc>
          <w:tcPr>
            <w:tcW w:w="1847" w:type="dxa"/>
            <w:vAlign w:val="center"/>
          </w:tcPr>
          <w:p w14:paraId="1C77A244" w14:textId="77777777" w:rsidR="00A83E15" w:rsidRPr="00E44753" w:rsidRDefault="00A83E15" w:rsidP="00E44753">
            <w:pPr>
              <w:rPr>
                <w:sz w:val="16"/>
                <w:szCs w:val="16"/>
              </w:rPr>
            </w:pPr>
            <w:r w:rsidRPr="00E44753">
              <w:rPr>
                <w:sz w:val="16"/>
                <w:szCs w:val="16"/>
              </w:rPr>
              <w:t>Conventional CEF DPI</w:t>
            </w:r>
          </w:p>
        </w:tc>
        <w:tc>
          <w:tcPr>
            <w:tcW w:w="1226" w:type="dxa"/>
            <w:vAlign w:val="center"/>
          </w:tcPr>
          <w:p w14:paraId="3498C7FF" w14:textId="77777777" w:rsidR="00A83E15" w:rsidRPr="00E44753" w:rsidRDefault="00A83E15" w:rsidP="00E44753">
            <w:pPr>
              <w:rPr>
                <w:sz w:val="16"/>
                <w:szCs w:val="16"/>
              </w:rPr>
            </w:pPr>
            <w:r w:rsidRPr="00E44753">
              <w:rPr>
                <w:sz w:val="16"/>
                <w:szCs w:val="16"/>
              </w:rPr>
              <w:t>0.86 ± 0.10</w:t>
            </w:r>
          </w:p>
        </w:tc>
        <w:tc>
          <w:tcPr>
            <w:tcW w:w="1217" w:type="dxa"/>
            <w:vAlign w:val="center"/>
          </w:tcPr>
          <w:p w14:paraId="643D4B70" w14:textId="77777777" w:rsidR="00A83E15" w:rsidRPr="00E44753" w:rsidRDefault="00A83E15" w:rsidP="00E44753">
            <w:pPr>
              <w:rPr>
                <w:sz w:val="16"/>
                <w:szCs w:val="16"/>
              </w:rPr>
            </w:pPr>
            <w:r w:rsidRPr="00E44753">
              <w:rPr>
                <w:sz w:val="16"/>
                <w:szCs w:val="16"/>
              </w:rPr>
              <w:t>0.67 ± 0.09</w:t>
            </w:r>
          </w:p>
        </w:tc>
        <w:tc>
          <w:tcPr>
            <w:tcW w:w="1062" w:type="dxa"/>
            <w:vAlign w:val="center"/>
          </w:tcPr>
          <w:p w14:paraId="1E8404AC" w14:textId="77777777" w:rsidR="00A83E15" w:rsidRPr="00E44753" w:rsidRDefault="00A83E15" w:rsidP="00E44753">
            <w:pPr>
              <w:rPr>
                <w:sz w:val="16"/>
                <w:szCs w:val="16"/>
              </w:rPr>
            </w:pPr>
            <w:r w:rsidRPr="00E44753">
              <w:rPr>
                <w:sz w:val="16"/>
                <w:szCs w:val="16"/>
              </w:rPr>
              <w:t>0.89 ± 0.07</w:t>
            </w:r>
          </w:p>
        </w:tc>
        <w:tc>
          <w:tcPr>
            <w:tcW w:w="1024" w:type="dxa"/>
            <w:vAlign w:val="center"/>
          </w:tcPr>
          <w:p w14:paraId="49B3ED10" w14:textId="77777777" w:rsidR="00A83E15" w:rsidRPr="00E44753" w:rsidRDefault="00A83E15" w:rsidP="00E44753">
            <w:pPr>
              <w:rPr>
                <w:sz w:val="16"/>
                <w:szCs w:val="16"/>
              </w:rPr>
            </w:pPr>
            <w:r w:rsidRPr="00E44753">
              <w:rPr>
                <w:sz w:val="16"/>
                <w:szCs w:val="16"/>
              </w:rPr>
              <w:t>0.86 ± 0.11</w:t>
            </w:r>
          </w:p>
        </w:tc>
      </w:tr>
      <w:tr w:rsidR="00A83E15" w:rsidRPr="00E44753" w14:paraId="48658182" w14:textId="77777777" w:rsidTr="000E0CBB">
        <w:trPr>
          <w:jc w:val="center"/>
        </w:trPr>
        <w:tc>
          <w:tcPr>
            <w:tcW w:w="1847" w:type="dxa"/>
            <w:vAlign w:val="center"/>
          </w:tcPr>
          <w:p w14:paraId="38060A56" w14:textId="77777777" w:rsidR="00A83E15" w:rsidRPr="00E44753" w:rsidRDefault="00A83E15" w:rsidP="00E44753">
            <w:pPr>
              <w:rPr>
                <w:sz w:val="16"/>
                <w:szCs w:val="16"/>
              </w:rPr>
            </w:pPr>
            <w:r w:rsidRPr="00E44753">
              <w:rPr>
                <w:sz w:val="16"/>
                <w:szCs w:val="16"/>
              </w:rPr>
              <w:t>Pure CEF</w:t>
            </w:r>
          </w:p>
        </w:tc>
        <w:tc>
          <w:tcPr>
            <w:tcW w:w="1226" w:type="dxa"/>
            <w:vAlign w:val="center"/>
          </w:tcPr>
          <w:p w14:paraId="5AC74EF8" w14:textId="77777777" w:rsidR="00A83E15" w:rsidRPr="00E44753" w:rsidRDefault="00A83E15" w:rsidP="00E44753">
            <w:pPr>
              <w:rPr>
                <w:sz w:val="16"/>
                <w:szCs w:val="16"/>
              </w:rPr>
            </w:pPr>
            <w:r w:rsidRPr="00E44753">
              <w:rPr>
                <w:sz w:val="16"/>
                <w:szCs w:val="16"/>
              </w:rPr>
              <w:t>0.80 ± 0.12</w:t>
            </w:r>
          </w:p>
        </w:tc>
        <w:tc>
          <w:tcPr>
            <w:tcW w:w="1217" w:type="dxa"/>
            <w:vAlign w:val="center"/>
          </w:tcPr>
          <w:p w14:paraId="2B2D761B" w14:textId="77777777" w:rsidR="00A83E15" w:rsidRPr="00E44753" w:rsidRDefault="00A83E15" w:rsidP="00E44753">
            <w:pPr>
              <w:rPr>
                <w:sz w:val="16"/>
                <w:szCs w:val="16"/>
              </w:rPr>
            </w:pPr>
            <w:r w:rsidRPr="00E44753">
              <w:rPr>
                <w:sz w:val="16"/>
                <w:szCs w:val="16"/>
              </w:rPr>
              <w:t>0.57 ± 0.19</w:t>
            </w:r>
          </w:p>
        </w:tc>
        <w:tc>
          <w:tcPr>
            <w:tcW w:w="1062" w:type="dxa"/>
            <w:vAlign w:val="center"/>
          </w:tcPr>
          <w:p w14:paraId="0A18C6E0" w14:textId="77777777" w:rsidR="00A83E15" w:rsidRPr="00E44753" w:rsidRDefault="00A83E15" w:rsidP="00E44753">
            <w:pPr>
              <w:rPr>
                <w:sz w:val="16"/>
                <w:szCs w:val="16"/>
              </w:rPr>
            </w:pPr>
            <w:r w:rsidRPr="00E44753">
              <w:rPr>
                <w:sz w:val="16"/>
                <w:szCs w:val="16"/>
              </w:rPr>
              <w:t>0.85 ± 0.08</w:t>
            </w:r>
          </w:p>
        </w:tc>
        <w:tc>
          <w:tcPr>
            <w:tcW w:w="1024" w:type="dxa"/>
            <w:vAlign w:val="center"/>
          </w:tcPr>
          <w:p w14:paraId="7392236A" w14:textId="77777777" w:rsidR="00A83E15" w:rsidRPr="00E44753" w:rsidRDefault="00A83E15" w:rsidP="00E44753">
            <w:pPr>
              <w:rPr>
                <w:sz w:val="16"/>
                <w:szCs w:val="16"/>
              </w:rPr>
            </w:pPr>
            <w:r w:rsidRPr="00E44753">
              <w:rPr>
                <w:sz w:val="16"/>
                <w:szCs w:val="16"/>
              </w:rPr>
              <w:t>0.84 ± 0.08</w:t>
            </w:r>
          </w:p>
        </w:tc>
      </w:tr>
    </w:tbl>
    <w:p w14:paraId="64FF9624" w14:textId="3985E3EF" w:rsidR="00CA55D9" w:rsidRPr="00CA55D9" w:rsidRDefault="00CA55D9" w:rsidP="00CA55D9">
      <w:pPr>
        <w:jc w:val="both"/>
        <w:rPr>
          <w:rFonts w:ascii="Source Sans Pro" w:hAnsi="Source Sans Pro"/>
          <w:b/>
          <w:i/>
          <w:iCs/>
          <w:color w:val="ED7D31" w:themeColor="accent2"/>
          <w:sz w:val="14"/>
          <w:szCs w:val="14"/>
          <w:lang w:val="en-US" w:eastAsia="en-US"/>
        </w:rPr>
      </w:pPr>
      <w:r w:rsidRPr="00CA55D9">
        <w:rPr>
          <w:rFonts w:ascii="Source Sans Pro" w:hAnsi="Source Sans Pro"/>
          <w:b/>
          <w:i/>
          <w:iCs/>
          <w:color w:val="ED7D31" w:themeColor="accent2"/>
          <w:sz w:val="20"/>
          <w:szCs w:val="18"/>
        </w:rPr>
        <w:t xml:space="preserve">                       </w:t>
      </w:r>
      <w:r>
        <w:rPr>
          <w:rFonts w:ascii="Source Sans Pro" w:hAnsi="Source Sans Pro"/>
          <w:b/>
          <w:i/>
          <w:iCs/>
          <w:color w:val="ED7D31" w:themeColor="accent2"/>
          <w:sz w:val="20"/>
          <w:szCs w:val="18"/>
        </w:rPr>
        <w:t xml:space="preserve">                                                         </w:t>
      </w:r>
      <w:r w:rsidRPr="00CA55D9">
        <w:rPr>
          <w:rFonts w:ascii="Source Sans Pro" w:hAnsi="Source Sans Pro"/>
          <w:b/>
          <w:i/>
          <w:iCs/>
          <w:color w:val="ED7D31" w:themeColor="accent2"/>
          <w:sz w:val="20"/>
          <w:szCs w:val="18"/>
        </w:rPr>
        <w:t>Content (Times New Roman front 8 with Grid lines and left alignment)</w:t>
      </w:r>
    </w:p>
    <w:p w14:paraId="7926368F" w14:textId="2F9955DA" w:rsidR="00E44753" w:rsidRPr="00277ED3" w:rsidRDefault="00CA55D9" w:rsidP="00E44753">
      <w:pPr>
        <w:pStyle w:val="Body"/>
        <w:spacing w:after="0" w:line="240" w:lineRule="auto"/>
        <w:jc w:val="both"/>
        <w:rPr>
          <w:rFonts w:ascii="Times New Roman" w:eastAsia="Times New Roman" w:hAnsi="Times New Roman" w:cs="Times New Roman"/>
          <w:sz w:val="20"/>
          <w:szCs w:val="20"/>
          <w:bdr w:val="none" w:sz="0" w:space="0" w:color="auto"/>
          <w:lang w:val="en-IN"/>
        </w:rPr>
      </w:pPr>
      <w:r>
        <w:rPr>
          <w:rFonts w:ascii="Times New Roman" w:eastAsia="Times New Roman" w:hAnsi="Times New Roman" w:cs="Times New Roman"/>
          <w:sz w:val="20"/>
          <w:szCs w:val="20"/>
          <w:bdr w:val="none" w:sz="0" w:space="0" w:color="auto"/>
          <w:lang w:val="en-IN"/>
        </w:rPr>
        <w:t xml:space="preserve"> </w:t>
      </w:r>
    </w:p>
    <w:p w14:paraId="4A080016" w14:textId="77777777" w:rsidR="00225D4A" w:rsidRPr="00277ED3" w:rsidRDefault="00225D4A" w:rsidP="00E44753">
      <w:pPr>
        <w:pStyle w:val="Body"/>
        <w:spacing w:after="0" w:line="240" w:lineRule="auto"/>
        <w:jc w:val="both"/>
        <w:rPr>
          <w:rFonts w:ascii="Times New Roman" w:eastAsia="Times New Roman" w:hAnsi="Times New Roman" w:cs="Times New Roman"/>
          <w:sz w:val="20"/>
          <w:szCs w:val="20"/>
          <w:bdr w:val="none" w:sz="0" w:space="0" w:color="auto"/>
          <w:lang w:val="en-IN"/>
        </w:rPr>
      </w:pPr>
      <w:r w:rsidRPr="00277ED3">
        <w:rPr>
          <w:rFonts w:ascii="Times New Roman" w:eastAsia="Times New Roman" w:hAnsi="Times New Roman" w:cs="Times New Roman"/>
          <w:sz w:val="20"/>
          <w:szCs w:val="20"/>
          <w:bdr w:val="none" w:sz="0" w:space="0" w:color="auto"/>
          <w:lang w:val="en-IN"/>
        </w:rPr>
        <w:t>In vitro deposition study using ACI</w:t>
      </w:r>
      <w:r w:rsidR="006C08B7" w:rsidRPr="00277ED3">
        <w:rPr>
          <w:rFonts w:ascii="Times New Roman" w:eastAsia="Times New Roman" w:hAnsi="Times New Roman" w:cs="Times New Roman"/>
          <w:sz w:val="20"/>
          <w:szCs w:val="20"/>
          <w:bdr w:val="none" w:sz="0" w:space="0" w:color="auto"/>
          <w:lang w:val="en-IN"/>
        </w:rPr>
        <w:t xml:space="preserve"> </w:t>
      </w:r>
      <w:r w:rsidRPr="00277ED3">
        <w:rPr>
          <w:rFonts w:ascii="Times New Roman" w:eastAsia="Times New Roman" w:hAnsi="Times New Roman" w:cs="Times New Roman"/>
          <w:sz w:val="20"/>
          <w:szCs w:val="20"/>
          <w:bdr w:val="none" w:sz="0" w:space="0" w:color="auto"/>
          <w:lang w:val="en-IN"/>
        </w:rPr>
        <w:t>From the results, it can be stated that the MMAD ratio is more for convenience than the formulated this is because bulk and tapped density of the powder is determined for indicating the theoretical MMAD of the powder concerning its geometric diameter. The lower the density, the lower will be the MMAD of the powder.</w:t>
      </w:r>
    </w:p>
    <w:p w14:paraId="2FF83AD0" w14:textId="77777777" w:rsidR="00D93A83" w:rsidRPr="00277ED3" w:rsidRDefault="00225D4A" w:rsidP="00E44753">
      <w:pPr>
        <w:pStyle w:val="Body"/>
        <w:spacing w:after="0" w:line="240" w:lineRule="auto"/>
        <w:jc w:val="both"/>
        <w:rPr>
          <w:rFonts w:ascii="Times New Roman" w:eastAsia="Times New Roman" w:hAnsi="Times New Roman" w:cs="Times New Roman"/>
          <w:b/>
          <w:sz w:val="20"/>
          <w:szCs w:val="20"/>
          <w:bdr w:val="none" w:sz="0" w:space="0" w:color="auto"/>
          <w:lang w:val="en-IN"/>
        </w:rPr>
      </w:pPr>
      <w:r w:rsidRPr="00277ED3">
        <w:rPr>
          <w:rFonts w:ascii="Times New Roman" w:eastAsia="Times New Roman" w:hAnsi="Times New Roman" w:cs="Times New Roman"/>
          <w:b/>
          <w:sz w:val="20"/>
          <w:szCs w:val="20"/>
          <w:bdr w:val="none" w:sz="0" w:space="0" w:color="auto"/>
          <w:lang w:val="en-IN"/>
        </w:rPr>
        <w:tab/>
      </w:r>
    </w:p>
    <w:p w14:paraId="60F509D6" w14:textId="4B53FB0E" w:rsidR="00225D4A" w:rsidRPr="00E44753" w:rsidRDefault="00E44753" w:rsidP="00E44753">
      <w:pPr>
        <w:pStyle w:val="Body"/>
        <w:spacing w:after="0" w:line="240" w:lineRule="auto"/>
        <w:jc w:val="both"/>
        <w:rPr>
          <w:rFonts w:ascii="Times New Roman" w:eastAsia="Times New Roman" w:hAnsi="Times New Roman" w:cs="Times New Roman"/>
          <w:color w:val="auto"/>
          <w:sz w:val="20"/>
          <w:szCs w:val="20"/>
          <w:bdr w:val="none" w:sz="0" w:space="0" w:color="auto"/>
          <w:lang w:val="en-IN"/>
        </w:rPr>
      </w:pPr>
      <w:r w:rsidRPr="00277ED3">
        <w:rPr>
          <w:rFonts w:ascii="Times New Roman" w:eastAsia="Times New Roman" w:hAnsi="Times New Roman" w:cs="Times New Roman"/>
          <w:b/>
          <w:szCs w:val="20"/>
          <w:bdr w:val="none" w:sz="0" w:space="0" w:color="auto"/>
          <w:lang w:val="en-IN"/>
        </w:rPr>
        <w:t xml:space="preserve">CONCLUSION: </w:t>
      </w:r>
      <w:r w:rsidRPr="00CA55D9">
        <w:rPr>
          <w:rFonts w:ascii="Source Sans Pro" w:hAnsi="Source Sans Pro" w:cs="Times New Roman"/>
          <w:b/>
          <w:i/>
          <w:iCs/>
          <w:color w:val="ED7D31" w:themeColor="accent2"/>
          <w:sz w:val="20"/>
          <w:szCs w:val="18"/>
        </w:rPr>
        <w:t>(Times New Roman front 11 Bold Capital)</w:t>
      </w:r>
    </w:p>
    <w:p w14:paraId="699B1988" w14:textId="0D3DDED6" w:rsidR="00277ED3" w:rsidRPr="00277ED3" w:rsidRDefault="00C819B3" w:rsidP="00E44753">
      <w:pPr>
        <w:pStyle w:val="Body"/>
        <w:spacing w:after="0" w:line="240" w:lineRule="auto"/>
        <w:jc w:val="both"/>
        <w:rPr>
          <w:rFonts w:ascii="Times New Roman" w:hAnsi="Times New Roman" w:cs="Times New Roman"/>
          <w:b/>
          <w:bCs/>
          <w:szCs w:val="20"/>
        </w:rPr>
      </w:pPr>
      <w:r w:rsidRPr="00C819B3">
        <w:rPr>
          <w:rFonts w:ascii="Times New Roman" w:hAnsi="Times New Roman" w:cs="Times New Roman"/>
          <w:sz w:val="20"/>
          <w:szCs w:val="20"/>
        </w:rPr>
        <w:t>The functionalization of MWCNTs was successfully achieved and evaluated using multiple parameters related to both functionalization efficiency and toxicity. Results indicated that functionalized MWCNTs exhibited reduced toxicity compared to their unmodified counterparts. This suggests that functionalized MWCNTs are biocompatible and can serve as safe and effective carriers for inhalation drug delivery. Moreover, loading cefdinir onto FMWCNTs for DPI formulation enables targeted lung delivery, improving regional deposition and flow properties. This approach not only allows for dose reduction but also enhances antimicrobial activity against both gram-positive and gram-negative bacteria by providing site-specific delivery and increased drug bioavailability.</w:t>
      </w:r>
    </w:p>
    <w:p w14:paraId="4E3BEBBB" w14:textId="642A7193" w:rsidR="00CA55D9" w:rsidRPr="00E44753" w:rsidRDefault="00E44753" w:rsidP="00CA55D9">
      <w:pPr>
        <w:pStyle w:val="Body"/>
        <w:spacing w:after="0" w:line="240" w:lineRule="auto"/>
        <w:jc w:val="both"/>
        <w:rPr>
          <w:rFonts w:ascii="Times New Roman" w:eastAsia="Times New Roman" w:hAnsi="Times New Roman" w:cs="Times New Roman"/>
          <w:color w:val="auto"/>
          <w:sz w:val="20"/>
          <w:szCs w:val="20"/>
          <w:bdr w:val="none" w:sz="0" w:space="0" w:color="auto"/>
          <w:lang w:val="en-IN"/>
        </w:rPr>
      </w:pPr>
      <w:r w:rsidRPr="00277ED3">
        <w:rPr>
          <w:rFonts w:ascii="Times New Roman" w:hAnsi="Times New Roman" w:cs="Times New Roman"/>
          <w:b/>
          <w:bCs/>
          <w:szCs w:val="20"/>
        </w:rPr>
        <w:t xml:space="preserve">CONFLICT OF INTEREST: </w:t>
      </w:r>
      <w:r w:rsidR="00CA55D9" w:rsidRPr="00CA55D9">
        <w:rPr>
          <w:rFonts w:ascii="Source Sans Pro" w:hAnsi="Source Sans Pro" w:cs="Times New Roman"/>
          <w:b/>
          <w:i/>
          <w:iCs/>
          <w:color w:val="ED7D31" w:themeColor="accent2"/>
          <w:sz w:val="20"/>
          <w:szCs w:val="18"/>
        </w:rPr>
        <w:t>(Times New Roman front 11 Bold Capital)</w:t>
      </w:r>
    </w:p>
    <w:p w14:paraId="7E2F73E8" w14:textId="6BCF56AC" w:rsidR="00225D4A" w:rsidRPr="00277ED3" w:rsidRDefault="00225D4A" w:rsidP="00E44753">
      <w:pPr>
        <w:pStyle w:val="Body"/>
        <w:spacing w:after="0" w:line="240" w:lineRule="auto"/>
        <w:jc w:val="both"/>
        <w:rPr>
          <w:rFonts w:ascii="Times New Roman" w:eastAsia="Times New Roman" w:hAnsi="Times New Roman" w:cs="Times New Roman"/>
          <w:b/>
          <w:bCs/>
          <w:sz w:val="20"/>
          <w:szCs w:val="20"/>
        </w:rPr>
      </w:pPr>
    </w:p>
    <w:p w14:paraId="7D7E94FF" w14:textId="77777777" w:rsidR="00CC6096" w:rsidRPr="00277ED3" w:rsidRDefault="00225D4A" w:rsidP="00E44753">
      <w:pPr>
        <w:pStyle w:val="Body"/>
        <w:spacing w:after="0" w:line="240" w:lineRule="auto"/>
        <w:jc w:val="both"/>
        <w:rPr>
          <w:rFonts w:ascii="Times New Roman" w:hAnsi="Times New Roman" w:cs="Times New Roman"/>
          <w:b/>
          <w:bCs/>
          <w:sz w:val="20"/>
          <w:szCs w:val="20"/>
        </w:rPr>
      </w:pPr>
      <w:r w:rsidRPr="00277ED3">
        <w:rPr>
          <w:rFonts w:ascii="Times New Roman" w:hAnsi="Times New Roman" w:cs="Times New Roman"/>
          <w:sz w:val="20"/>
          <w:szCs w:val="20"/>
        </w:rPr>
        <w:t>The authors have no conflicts of interest regarding this investigation</w:t>
      </w:r>
      <w:r w:rsidRPr="00277ED3">
        <w:rPr>
          <w:rFonts w:ascii="Times New Roman" w:hAnsi="Times New Roman" w:cs="Times New Roman"/>
          <w:b/>
          <w:bCs/>
          <w:sz w:val="20"/>
          <w:szCs w:val="20"/>
        </w:rPr>
        <w:t>.</w:t>
      </w:r>
    </w:p>
    <w:p w14:paraId="7C26F571" w14:textId="77777777" w:rsidR="00E44753" w:rsidRPr="00277ED3" w:rsidRDefault="00E44753" w:rsidP="00E44753">
      <w:pPr>
        <w:pStyle w:val="Body"/>
        <w:spacing w:after="0" w:line="240" w:lineRule="auto"/>
        <w:jc w:val="both"/>
        <w:rPr>
          <w:rFonts w:ascii="Times New Roman" w:hAnsi="Times New Roman" w:cs="Times New Roman"/>
          <w:b/>
          <w:bCs/>
          <w:sz w:val="20"/>
          <w:szCs w:val="20"/>
        </w:rPr>
      </w:pPr>
    </w:p>
    <w:p w14:paraId="2B0C16BA" w14:textId="4B6B084E" w:rsidR="00CA55D9" w:rsidRPr="00E44753" w:rsidRDefault="00E44753" w:rsidP="00CA55D9">
      <w:pPr>
        <w:pStyle w:val="Body"/>
        <w:spacing w:after="0" w:line="240" w:lineRule="auto"/>
        <w:jc w:val="both"/>
        <w:rPr>
          <w:rFonts w:ascii="Times New Roman" w:eastAsia="Times New Roman" w:hAnsi="Times New Roman" w:cs="Times New Roman"/>
          <w:color w:val="auto"/>
          <w:sz w:val="20"/>
          <w:szCs w:val="20"/>
          <w:bdr w:val="none" w:sz="0" w:space="0" w:color="auto"/>
          <w:lang w:val="en-IN"/>
        </w:rPr>
      </w:pPr>
      <w:r w:rsidRPr="00277ED3">
        <w:rPr>
          <w:rFonts w:ascii="Times New Roman" w:hAnsi="Times New Roman" w:cs="Times New Roman"/>
          <w:b/>
          <w:bCs/>
          <w:szCs w:val="20"/>
        </w:rPr>
        <w:t xml:space="preserve">ACKNOWLEDGMENTS: </w:t>
      </w:r>
      <w:r w:rsidR="00CA55D9" w:rsidRPr="00CA55D9">
        <w:rPr>
          <w:rFonts w:ascii="Source Sans Pro" w:hAnsi="Source Sans Pro" w:cs="Times New Roman"/>
          <w:b/>
          <w:i/>
          <w:iCs/>
          <w:color w:val="ED7D31" w:themeColor="accent2"/>
          <w:sz w:val="20"/>
          <w:szCs w:val="18"/>
        </w:rPr>
        <w:t>(Times New Roman front 11 Bold Capital)</w:t>
      </w:r>
    </w:p>
    <w:p w14:paraId="7DA2E529" w14:textId="09D0A07C" w:rsidR="00225D4A" w:rsidRPr="00277ED3" w:rsidRDefault="00225D4A" w:rsidP="00E44753">
      <w:pPr>
        <w:pStyle w:val="Body"/>
        <w:spacing w:after="0" w:line="240" w:lineRule="auto"/>
        <w:jc w:val="both"/>
        <w:rPr>
          <w:rFonts w:ascii="Times New Roman" w:eastAsia="Times New Roman" w:hAnsi="Times New Roman" w:cs="Times New Roman"/>
          <w:b/>
          <w:bCs/>
          <w:sz w:val="20"/>
          <w:szCs w:val="20"/>
        </w:rPr>
      </w:pPr>
    </w:p>
    <w:p w14:paraId="6D3E527F" w14:textId="6362412B" w:rsidR="00225D4A" w:rsidRPr="00E44753" w:rsidRDefault="00225D4A" w:rsidP="00E44753">
      <w:pPr>
        <w:jc w:val="both"/>
        <w:rPr>
          <w:sz w:val="20"/>
          <w:szCs w:val="20"/>
        </w:rPr>
      </w:pPr>
      <w:r w:rsidRPr="00E44753">
        <w:rPr>
          <w:sz w:val="20"/>
          <w:szCs w:val="20"/>
        </w:rPr>
        <w:t xml:space="preserve">The authors would like to thank </w:t>
      </w:r>
      <w:r w:rsidR="00C819B3">
        <w:rPr>
          <w:sz w:val="20"/>
          <w:szCs w:val="20"/>
        </w:rPr>
        <w:t>Manas</w:t>
      </w:r>
      <w:r w:rsidR="00E44753" w:rsidRPr="00E44753">
        <w:rPr>
          <w:sz w:val="20"/>
          <w:szCs w:val="20"/>
        </w:rPr>
        <w:t xml:space="preserve"> </w:t>
      </w:r>
      <w:r w:rsidRPr="00E44753">
        <w:rPr>
          <w:sz w:val="20"/>
          <w:szCs w:val="20"/>
        </w:rPr>
        <w:t xml:space="preserve">Diagnostic </w:t>
      </w:r>
      <w:proofErr w:type="spellStart"/>
      <w:r w:rsidRPr="00E44753">
        <w:rPr>
          <w:sz w:val="20"/>
          <w:szCs w:val="20"/>
        </w:rPr>
        <w:t>Pvt.</w:t>
      </w:r>
      <w:proofErr w:type="spellEnd"/>
      <w:r w:rsidRPr="00E44753">
        <w:rPr>
          <w:sz w:val="20"/>
          <w:szCs w:val="20"/>
        </w:rPr>
        <w:t xml:space="preserve"> Ltd. Pune for their kind support </w:t>
      </w:r>
      <w:r w:rsidR="00CA55D9" w:rsidRPr="00E44753">
        <w:rPr>
          <w:sz w:val="20"/>
          <w:szCs w:val="20"/>
        </w:rPr>
        <w:t>during and</w:t>
      </w:r>
      <w:r w:rsidRPr="00E44753">
        <w:rPr>
          <w:sz w:val="20"/>
          <w:szCs w:val="20"/>
        </w:rPr>
        <w:t xml:space="preserve"> all other lab studies.</w:t>
      </w:r>
    </w:p>
    <w:p w14:paraId="0AEFD50A" w14:textId="77777777" w:rsidR="00225D4A" w:rsidRPr="00277ED3" w:rsidRDefault="00225D4A" w:rsidP="00E44753">
      <w:pPr>
        <w:rPr>
          <w:color w:val="000000"/>
          <w:sz w:val="20"/>
          <w:szCs w:val="20"/>
          <w:u w:color="000000"/>
          <w:shd w:val="clear" w:color="auto" w:fill="FFFFFF"/>
        </w:rPr>
      </w:pPr>
    </w:p>
    <w:p w14:paraId="1C4CB76F" w14:textId="3CBE373C" w:rsidR="00CA55D9" w:rsidRPr="00E44753" w:rsidRDefault="00E44753" w:rsidP="00CA55D9">
      <w:pPr>
        <w:pStyle w:val="Body"/>
        <w:spacing w:after="0" w:line="240" w:lineRule="auto"/>
        <w:jc w:val="both"/>
        <w:rPr>
          <w:rFonts w:ascii="Times New Roman" w:eastAsia="Times New Roman" w:hAnsi="Times New Roman" w:cs="Times New Roman"/>
          <w:color w:val="auto"/>
          <w:sz w:val="20"/>
          <w:szCs w:val="20"/>
          <w:bdr w:val="none" w:sz="0" w:space="0" w:color="auto"/>
          <w:lang w:val="en-IN"/>
        </w:rPr>
      </w:pPr>
      <w:r w:rsidRPr="00277ED3">
        <w:rPr>
          <w:rFonts w:ascii="Times New Roman" w:hAnsi="Times New Roman" w:cs="Times New Roman"/>
          <w:b/>
          <w:bCs/>
          <w:szCs w:val="20"/>
          <w:u w:color="222222"/>
          <w:shd w:val="clear" w:color="auto" w:fill="FFFFFF"/>
        </w:rPr>
        <w:t xml:space="preserve">REFERENCES: </w:t>
      </w:r>
      <w:r w:rsidR="00CA55D9" w:rsidRPr="00CA55D9">
        <w:rPr>
          <w:rFonts w:ascii="Source Sans Pro" w:hAnsi="Source Sans Pro" w:cs="Times New Roman"/>
          <w:b/>
          <w:i/>
          <w:iCs/>
          <w:color w:val="ED7D31" w:themeColor="accent2"/>
          <w:sz w:val="20"/>
          <w:szCs w:val="18"/>
        </w:rPr>
        <w:t>(Times New Roman front 11 Bold Capital)</w:t>
      </w:r>
    </w:p>
    <w:p w14:paraId="1E3DB21F" w14:textId="4625DB84" w:rsidR="00E44753" w:rsidRPr="00E44753" w:rsidRDefault="00E44753" w:rsidP="00E44753">
      <w:pPr>
        <w:pStyle w:val="Body"/>
        <w:spacing w:after="0" w:line="240" w:lineRule="auto"/>
        <w:jc w:val="both"/>
        <w:rPr>
          <w:rFonts w:ascii="Times New Roman" w:hAnsi="Times New Roman" w:cs="Times New Roman"/>
          <w:bCs/>
          <w:szCs w:val="20"/>
        </w:rPr>
      </w:pPr>
    </w:p>
    <w:p w14:paraId="3FE7007D" w14:textId="77777777" w:rsidR="00E44753" w:rsidRPr="00E44753" w:rsidRDefault="00E44753" w:rsidP="00E44753">
      <w:pPr>
        <w:pStyle w:val="Body"/>
        <w:spacing w:after="0" w:line="240" w:lineRule="auto"/>
        <w:jc w:val="both"/>
        <w:rPr>
          <w:rFonts w:ascii="Times New Roman" w:hAnsi="Times New Roman" w:cs="Times New Roman"/>
          <w:bCs/>
          <w:szCs w:val="20"/>
        </w:rPr>
      </w:pPr>
    </w:p>
    <w:p w14:paraId="13EB9B4B" w14:textId="77777777" w:rsidR="00C819B3" w:rsidRPr="00C819B3" w:rsidRDefault="00C819B3" w:rsidP="00997DBA">
      <w:pPr>
        <w:pStyle w:val="ListParagraph"/>
        <w:numPr>
          <w:ilvl w:val="0"/>
          <w:numId w:val="1"/>
        </w:numPr>
        <w:jc w:val="both"/>
        <w:rPr>
          <w:rFonts w:eastAsia="Arial Unicode MS"/>
          <w:bCs/>
          <w:color w:val="000000"/>
          <w:sz w:val="16"/>
          <w:szCs w:val="16"/>
          <w:u w:color="222222"/>
          <w:bdr w:val="nil"/>
          <w:shd w:val="clear" w:color="auto" w:fill="FFFFFF"/>
          <w:lang w:val="en-US"/>
        </w:rPr>
      </w:pPr>
      <w:r w:rsidRPr="00C819B3">
        <w:rPr>
          <w:rFonts w:eastAsia="Arial Unicode MS"/>
          <w:bCs/>
          <w:color w:val="000000"/>
          <w:sz w:val="16"/>
          <w:szCs w:val="16"/>
          <w:u w:color="222222"/>
          <w:bdr w:val="nil"/>
          <w:shd w:val="clear" w:color="auto" w:fill="FFFFFF"/>
          <w:lang w:val="en-US"/>
        </w:rPr>
        <w:t>Reddy P, Sharma S. Pulmonary drug delivery approaches: a concise systematic overview. Journal of Pulmonary Therapeutics. 2013;30(2):50. https://doi.org/10.1016/j.jpulther.2013.02.001</w:t>
      </w:r>
    </w:p>
    <w:p w14:paraId="50B149E9" w14:textId="77777777" w:rsidR="00C819B3" w:rsidRPr="00C819B3" w:rsidRDefault="00C819B3" w:rsidP="00997DBA">
      <w:pPr>
        <w:pStyle w:val="ListParagraph"/>
        <w:jc w:val="both"/>
        <w:rPr>
          <w:rFonts w:eastAsia="Arial Unicode MS"/>
          <w:bCs/>
          <w:color w:val="000000"/>
          <w:sz w:val="16"/>
          <w:szCs w:val="16"/>
          <w:u w:color="222222"/>
          <w:bdr w:val="nil"/>
          <w:shd w:val="clear" w:color="auto" w:fill="FFFFFF"/>
          <w:lang w:val="en-US"/>
        </w:rPr>
      </w:pPr>
    </w:p>
    <w:p w14:paraId="3C6D5C4B" w14:textId="77777777" w:rsidR="00C819B3" w:rsidRPr="00C819B3" w:rsidRDefault="00C819B3" w:rsidP="00997DBA">
      <w:pPr>
        <w:pStyle w:val="ListParagraph"/>
        <w:numPr>
          <w:ilvl w:val="0"/>
          <w:numId w:val="1"/>
        </w:numPr>
        <w:jc w:val="both"/>
        <w:rPr>
          <w:rFonts w:eastAsia="Arial Unicode MS"/>
          <w:bCs/>
          <w:color w:val="000000"/>
          <w:sz w:val="16"/>
          <w:szCs w:val="16"/>
          <w:u w:color="222222"/>
          <w:bdr w:val="nil"/>
          <w:shd w:val="clear" w:color="auto" w:fill="FFFFFF"/>
          <w:lang w:val="en-US"/>
        </w:rPr>
      </w:pPr>
      <w:r w:rsidRPr="00C819B3">
        <w:rPr>
          <w:rFonts w:eastAsia="Arial Unicode MS"/>
          <w:bCs/>
          <w:color w:val="000000"/>
          <w:sz w:val="16"/>
          <w:szCs w:val="16"/>
          <w:u w:color="222222"/>
          <w:bdr w:val="nil"/>
          <w:shd w:val="clear" w:color="auto" w:fill="FFFFFF"/>
          <w:lang w:val="en-US"/>
        </w:rPr>
        <w:t>Menon J, Desai M. Advances in evaluation techniques for pulmonary drug delivery systems. International Journal of Pharmaceutical Research. 2017;79(4):300–315. https://doi.org/10.4172/ijp.2017.00456</w:t>
      </w:r>
    </w:p>
    <w:p w14:paraId="4A7A6B42" w14:textId="77777777" w:rsidR="00C819B3" w:rsidRPr="00C819B3" w:rsidRDefault="00C819B3" w:rsidP="00997DBA">
      <w:pPr>
        <w:pStyle w:val="ListParagraph"/>
        <w:jc w:val="both"/>
        <w:rPr>
          <w:rFonts w:eastAsia="Arial Unicode MS"/>
          <w:bCs/>
          <w:color w:val="000000"/>
          <w:sz w:val="16"/>
          <w:szCs w:val="16"/>
          <w:u w:color="222222"/>
          <w:bdr w:val="nil"/>
          <w:shd w:val="clear" w:color="auto" w:fill="FFFFFF"/>
          <w:lang w:val="en-US"/>
        </w:rPr>
      </w:pPr>
    </w:p>
    <w:p w14:paraId="55719DCA" w14:textId="77777777" w:rsidR="00C819B3" w:rsidRPr="00C819B3" w:rsidRDefault="00C819B3" w:rsidP="00997DBA">
      <w:pPr>
        <w:pStyle w:val="ListParagraph"/>
        <w:numPr>
          <w:ilvl w:val="0"/>
          <w:numId w:val="1"/>
        </w:numPr>
        <w:jc w:val="both"/>
        <w:rPr>
          <w:rFonts w:eastAsia="Arial Unicode MS"/>
          <w:bCs/>
          <w:color w:val="000000"/>
          <w:sz w:val="16"/>
          <w:szCs w:val="16"/>
          <w:u w:color="222222"/>
          <w:bdr w:val="nil"/>
          <w:shd w:val="clear" w:color="auto" w:fill="FFFFFF"/>
          <w:lang w:val="en-US"/>
        </w:rPr>
      </w:pPr>
      <w:r w:rsidRPr="00C819B3">
        <w:rPr>
          <w:rFonts w:eastAsia="Arial Unicode MS"/>
          <w:bCs/>
          <w:color w:val="000000"/>
          <w:sz w:val="16"/>
          <w:szCs w:val="16"/>
          <w:u w:color="222222"/>
          <w:bdr w:val="nil"/>
          <w:shd w:val="clear" w:color="auto" w:fill="FFFFFF"/>
          <w:lang w:val="en-US"/>
        </w:rPr>
        <w:t>van der Meer H, de Vries AH. Dry powder inhalers for targeted pulmonary drug administration. Expert Review of Drug Delivery. 2005;2(2):70–88. https://doi.org/10.1517/17425247.2.2.70</w:t>
      </w:r>
    </w:p>
    <w:p w14:paraId="02BF2DEC" w14:textId="77777777" w:rsidR="00C819B3" w:rsidRPr="00C819B3" w:rsidRDefault="00C819B3" w:rsidP="00997DBA">
      <w:pPr>
        <w:pStyle w:val="ListParagraph"/>
        <w:jc w:val="both"/>
        <w:rPr>
          <w:rFonts w:eastAsia="Arial Unicode MS"/>
          <w:bCs/>
          <w:color w:val="000000"/>
          <w:sz w:val="16"/>
          <w:szCs w:val="16"/>
          <w:u w:color="222222"/>
          <w:bdr w:val="nil"/>
          <w:shd w:val="clear" w:color="auto" w:fill="FFFFFF"/>
          <w:lang w:val="en-US"/>
        </w:rPr>
      </w:pPr>
    </w:p>
    <w:p w14:paraId="39657638" w14:textId="231336F7" w:rsidR="00225D4A" w:rsidRPr="00C819B3" w:rsidRDefault="00C819B3" w:rsidP="00997DBA">
      <w:pPr>
        <w:pStyle w:val="ListParagraph"/>
        <w:numPr>
          <w:ilvl w:val="0"/>
          <w:numId w:val="1"/>
        </w:numPr>
        <w:jc w:val="both"/>
        <w:rPr>
          <w:color w:val="222222"/>
          <w:sz w:val="16"/>
          <w:szCs w:val="16"/>
          <w:shd w:val="clear" w:color="auto" w:fill="FFFFFF"/>
        </w:rPr>
      </w:pPr>
      <w:r w:rsidRPr="00C819B3">
        <w:rPr>
          <w:rFonts w:eastAsia="Arial Unicode MS"/>
          <w:bCs/>
          <w:color w:val="000000"/>
          <w:sz w:val="16"/>
          <w:szCs w:val="16"/>
          <w:u w:color="222222"/>
          <w:bdr w:val="nil"/>
          <w:shd w:val="clear" w:color="auto" w:fill="FFFFFF"/>
          <w:lang w:val="en-US"/>
        </w:rPr>
        <w:t>Khan N, Grewal E. Dry powder inhalers: reliability, innovations, and performance. Journal of Advanced Pharmaceutics. 2009;365(1–2):2–12. https://doi.org/10.1016/j.japh.2009.05.003</w:t>
      </w:r>
      <w:r w:rsidR="00BC6A99" w:rsidRPr="00C819B3">
        <w:rPr>
          <w:color w:val="222222"/>
          <w:sz w:val="16"/>
          <w:szCs w:val="16"/>
          <w:shd w:val="clear" w:color="auto" w:fill="FFFFFF"/>
        </w:rPr>
        <w:t xml:space="preserve"> </w:t>
      </w:r>
    </w:p>
    <w:p w14:paraId="632A3A52"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t xml:space="preserve">Kapoor A, Verma S, Singh R, Mehta P, Choudhury T. Functionalized carbon nanotubes: potential applications in diagnostics and therapeutics. In: Advances in </w:t>
      </w:r>
      <w:proofErr w:type="spellStart"/>
      <w:r w:rsidRPr="00C819B3">
        <w:rPr>
          <w:color w:val="222222"/>
          <w:sz w:val="16"/>
          <w:szCs w:val="16"/>
          <w:shd w:val="clear" w:color="auto" w:fill="FFFFFF"/>
        </w:rPr>
        <w:t>Nanobiomaterials</w:t>
      </w:r>
      <w:proofErr w:type="spellEnd"/>
      <w:r w:rsidRPr="00C819B3">
        <w:rPr>
          <w:color w:val="222222"/>
          <w:sz w:val="16"/>
          <w:szCs w:val="16"/>
          <w:shd w:val="clear" w:color="auto" w:fill="FFFFFF"/>
        </w:rPr>
        <w:t xml:space="preserve"> for Medical Imaging. 2017; 462–485. Springer Publishing.</w:t>
      </w:r>
    </w:p>
    <w:p w14:paraId="660C4390" w14:textId="77777777" w:rsidR="00C819B3" w:rsidRPr="00C819B3" w:rsidRDefault="00C819B3" w:rsidP="00997DBA">
      <w:pPr>
        <w:pStyle w:val="ListParagraph"/>
        <w:jc w:val="both"/>
        <w:rPr>
          <w:color w:val="222222"/>
          <w:sz w:val="16"/>
          <w:szCs w:val="16"/>
          <w:shd w:val="clear" w:color="auto" w:fill="FFFFFF"/>
        </w:rPr>
      </w:pPr>
    </w:p>
    <w:p w14:paraId="7F88DB1A"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t>Sharma N, Jain R, Verma K. Surface-engineered carbon nanotubes in pharmaceutical and biomedical applications. Current Drug Research Reviews. 2016;21(5):760–770. https://doi.org/10.1016/j.cdr.2016.02.008</w:t>
      </w:r>
    </w:p>
    <w:p w14:paraId="404A74F3" w14:textId="77777777" w:rsidR="00C819B3" w:rsidRPr="00C819B3" w:rsidRDefault="00C819B3" w:rsidP="00997DBA">
      <w:pPr>
        <w:pStyle w:val="ListParagraph"/>
        <w:jc w:val="both"/>
        <w:rPr>
          <w:color w:val="222222"/>
          <w:sz w:val="16"/>
          <w:szCs w:val="16"/>
          <w:shd w:val="clear" w:color="auto" w:fill="FFFFFF"/>
        </w:rPr>
      </w:pPr>
    </w:p>
    <w:p w14:paraId="0375558A"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t>Müller F, Hoffmann C, Fischer D, Klein J, Weber T, Schmid O. Pulmonary drug delivery strategies for cystic fibrosis infections: current perspectives. Expert Opinion on Pulmonary Drug Delivery. 2016;13(7):1425–1450. https://doi.org/10.1517/17425247.2016.1009123</w:t>
      </w:r>
    </w:p>
    <w:p w14:paraId="475F38A5" w14:textId="77777777" w:rsidR="00C819B3" w:rsidRPr="00C819B3" w:rsidRDefault="00C819B3" w:rsidP="00997DBA">
      <w:pPr>
        <w:pStyle w:val="ListParagraph"/>
        <w:jc w:val="both"/>
        <w:rPr>
          <w:color w:val="222222"/>
          <w:sz w:val="16"/>
          <w:szCs w:val="16"/>
          <w:shd w:val="clear" w:color="auto" w:fill="FFFFFF"/>
        </w:rPr>
      </w:pPr>
    </w:p>
    <w:p w14:paraId="2B0CDD8C"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lastRenderedPageBreak/>
        <w:t>Thompson SD, Clarke PB. Cystic fibrosis: epidemiology and pathological insights. Chest Clinics Review. 2008;29(3):290–300. https://doi.org/10.1016/j.ccm.2008.03.012</w:t>
      </w:r>
    </w:p>
    <w:p w14:paraId="279C01E7" w14:textId="77777777" w:rsidR="00C819B3" w:rsidRPr="00C819B3" w:rsidRDefault="00C819B3" w:rsidP="00997DBA">
      <w:pPr>
        <w:pStyle w:val="ListParagraph"/>
        <w:jc w:val="both"/>
        <w:rPr>
          <w:color w:val="222222"/>
          <w:sz w:val="16"/>
          <w:szCs w:val="16"/>
          <w:shd w:val="clear" w:color="auto" w:fill="FFFFFF"/>
        </w:rPr>
      </w:pPr>
    </w:p>
    <w:p w14:paraId="2701BDAE"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t>Green P, Whiteley M. Metabolic and pathogenic aspects of Pseudomonas aeruginosa in cystic fibrosis lung infections. Bacterial Pathogenesis &amp; Metabolism. 2016;190–220. https://doi.org/10.3389/fmicb.2016.00412</w:t>
      </w:r>
    </w:p>
    <w:p w14:paraId="08D68FFC" w14:textId="77777777" w:rsidR="00C819B3" w:rsidRPr="00C819B3" w:rsidRDefault="00C819B3" w:rsidP="00997DBA">
      <w:pPr>
        <w:pStyle w:val="ListParagraph"/>
        <w:jc w:val="both"/>
        <w:rPr>
          <w:color w:val="222222"/>
          <w:sz w:val="16"/>
          <w:szCs w:val="16"/>
          <w:shd w:val="clear" w:color="auto" w:fill="FFFFFF"/>
        </w:rPr>
      </w:pPr>
    </w:p>
    <w:p w14:paraId="2A5E6CDF"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t xml:space="preserve">Mitchell JP. Lung infections as a major public health concern. </w:t>
      </w:r>
      <w:proofErr w:type="spellStart"/>
      <w:r w:rsidRPr="00C819B3">
        <w:rPr>
          <w:color w:val="222222"/>
          <w:sz w:val="16"/>
          <w:szCs w:val="16"/>
          <w:shd w:val="clear" w:color="auto" w:fill="FFFFFF"/>
        </w:rPr>
        <w:t>PLoS</w:t>
      </w:r>
      <w:proofErr w:type="spellEnd"/>
      <w:r w:rsidRPr="00C819B3">
        <w:rPr>
          <w:color w:val="222222"/>
          <w:sz w:val="16"/>
          <w:szCs w:val="16"/>
          <w:shd w:val="clear" w:color="auto" w:fill="FFFFFF"/>
        </w:rPr>
        <w:t xml:space="preserve"> Medicine Perspectives. 2007;4(1</w:t>
      </w:r>
      <w:proofErr w:type="gramStart"/>
      <w:r w:rsidRPr="00C819B3">
        <w:rPr>
          <w:color w:val="222222"/>
          <w:sz w:val="16"/>
          <w:szCs w:val="16"/>
          <w:shd w:val="clear" w:color="auto" w:fill="FFFFFF"/>
        </w:rPr>
        <w:t>):e</w:t>
      </w:r>
      <w:proofErr w:type="gramEnd"/>
      <w:r w:rsidRPr="00C819B3">
        <w:rPr>
          <w:color w:val="222222"/>
          <w:sz w:val="16"/>
          <w:szCs w:val="16"/>
          <w:shd w:val="clear" w:color="auto" w:fill="FFFFFF"/>
        </w:rPr>
        <w:t>88. https://doi.org/10.1371/journal.pmed.0040088</w:t>
      </w:r>
    </w:p>
    <w:p w14:paraId="038374F1" w14:textId="77777777" w:rsidR="00C819B3" w:rsidRPr="00C819B3" w:rsidRDefault="00C819B3" w:rsidP="00997DBA">
      <w:pPr>
        <w:pStyle w:val="ListParagraph"/>
        <w:jc w:val="both"/>
        <w:rPr>
          <w:color w:val="222222"/>
          <w:sz w:val="16"/>
          <w:szCs w:val="16"/>
          <w:shd w:val="clear" w:color="auto" w:fill="FFFFFF"/>
        </w:rPr>
      </w:pPr>
    </w:p>
    <w:p w14:paraId="6529F16E"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t>Alvarez A, Campos R, Baquero F, Blazquez J. High prevalence of hypermutable Pseudomonas aeruginosa in cystic fibrosis patients. Science Advances. 2001;289(5470):1260–1263. https://doi.org/10.1126/science.289.5470.1260</w:t>
      </w:r>
    </w:p>
    <w:p w14:paraId="151FE56D" w14:textId="77777777" w:rsidR="00C819B3" w:rsidRPr="00C819B3" w:rsidRDefault="00C819B3" w:rsidP="00997DBA">
      <w:pPr>
        <w:pStyle w:val="ListParagraph"/>
        <w:jc w:val="both"/>
        <w:rPr>
          <w:color w:val="222222"/>
          <w:sz w:val="16"/>
          <w:szCs w:val="16"/>
          <w:shd w:val="clear" w:color="auto" w:fill="FFFFFF"/>
        </w:rPr>
      </w:pPr>
    </w:p>
    <w:p w14:paraId="03B13F9F"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t>Rao DR. Cefdinir: broad-spectrum oral cephalosporin for respiratory infections. Clinical Therapeutics Today. 2003;25(5):480–495. https://doi.org/10.1016/s0149-2918(03)85230-8</w:t>
      </w:r>
    </w:p>
    <w:p w14:paraId="41E27301" w14:textId="77777777" w:rsidR="00C819B3" w:rsidRPr="00C819B3" w:rsidRDefault="00C819B3" w:rsidP="00997DBA">
      <w:pPr>
        <w:pStyle w:val="ListParagraph"/>
        <w:jc w:val="both"/>
        <w:rPr>
          <w:color w:val="222222"/>
          <w:sz w:val="16"/>
          <w:szCs w:val="16"/>
          <w:shd w:val="clear" w:color="auto" w:fill="FFFFFF"/>
        </w:rPr>
      </w:pPr>
    </w:p>
    <w:p w14:paraId="2762C8B4"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t>Singh HS, Jones RN. Cefdinir in the treatment of respiratory and skin infections. Expert Review of Anti-Infectives. 2008;6(2):35–48. https://doi.org/10.1586/14787210.6.2.35</w:t>
      </w:r>
    </w:p>
    <w:p w14:paraId="13BA64FB" w14:textId="77777777" w:rsidR="00C819B3" w:rsidRPr="00C819B3" w:rsidRDefault="00C819B3" w:rsidP="00997DBA">
      <w:pPr>
        <w:pStyle w:val="ListParagraph"/>
        <w:jc w:val="both"/>
        <w:rPr>
          <w:color w:val="222222"/>
          <w:sz w:val="16"/>
          <w:szCs w:val="16"/>
          <w:shd w:val="clear" w:color="auto" w:fill="FFFFFF"/>
        </w:rPr>
      </w:pPr>
    </w:p>
    <w:p w14:paraId="70C09E83" w14:textId="77777777" w:rsidR="00C819B3" w:rsidRPr="00C819B3" w:rsidRDefault="00C819B3" w:rsidP="00997DBA">
      <w:pPr>
        <w:pStyle w:val="ListParagraph"/>
        <w:numPr>
          <w:ilvl w:val="0"/>
          <w:numId w:val="1"/>
        </w:numPr>
        <w:jc w:val="both"/>
        <w:rPr>
          <w:color w:val="222222"/>
          <w:sz w:val="16"/>
          <w:szCs w:val="16"/>
          <w:shd w:val="clear" w:color="auto" w:fill="FFFFFF"/>
        </w:rPr>
      </w:pPr>
      <w:r w:rsidRPr="00C819B3">
        <w:rPr>
          <w:color w:val="222222"/>
          <w:sz w:val="16"/>
          <w:szCs w:val="16"/>
          <w:shd w:val="clear" w:color="auto" w:fill="FFFFFF"/>
        </w:rPr>
        <w:t>Perry CM, Scott LJ. Pharmacology and clinical use of cefdinir. Drugs in Therapy. 2005;65(14):1440–1472. https://doi.org/10.2165/00003495-200565140-00005</w:t>
      </w:r>
    </w:p>
    <w:p w14:paraId="288E03AC" w14:textId="77777777" w:rsidR="00C819B3" w:rsidRPr="00C819B3" w:rsidRDefault="00C819B3" w:rsidP="00997DBA">
      <w:pPr>
        <w:pStyle w:val="ListParagraph"/>
        <w:jc w:val="both"/>
        <w:rPr>
          <w:color w:val="222222"/>
          <w:sz w:val="16"/>
          <w:szCs w:val="16"/>
          <w:shd w:val="clear" w:color="auto" w:fill="FFFFFF"/>
        </w:rPr>
      </w:pPr>
    </w:p>
    <w:p w14:paraId="50150F4D" w14:textId="6B2FAF87" w:rsidR="00C819B3" w:rsidRPr="00C819B3" w:rsidRDefault="00C819B3" w:rsidP="00997DBA">
      <w:pPr>
        <w:pStyle w:val="ListParagraph"/>
        <w:numPr>
          <w:ilvl w:val="0"/>
          <w:numId w:val="1"/>
        </w:numPr>
        <w:jc w:val="both"/>
        <w:rPr>
          <w:sz w:val="16"/>
          <w:szCs w:val="16"/>
        </w:rPr>
      </w:pPr>
      <w:r w:rsidRPr="00C819B3">
        <w:rPr>
          <w:color w:val="222222"/>
          <w:sz w:val="16"/>
          <w:szCs w:val="16"/>
          <w:shd w:val="clear" w:color="auto" w:fill="FFFFFF"/>
        </w:rPr>
        <w:t>Ghoshal S, Kushwaha SK, Srivastava M, Tiwari P. Drug loading and release from functionalized multiwalled carbon nanotubes using 6-mercaptopurine: incipient wetness impregnation method. American Journal of Advanced Drug Delivery. 2015;3(1):220–230.</w:t>
      </w:r>
      <w:r w:rsidRPr="00C819B3">
        <w:rPr>
          <w:sz w:val="16"/>
          <w:szCs w:val="16"/>
        </w:rPr>
        <w:t>Sharma R, Verma P, Gupta A, Nair S. FTIR analysis of multiwalled carbon nanotubes: investigating nitrogen incorporation. International Journal of Nanomaterials. 2008;8(4):1120–1125.</w:t>
      </w:r>
    </w:p>
    <w:p w14:paraId="52F8D6E3" w14:textId="77777777" w:rsidR="00C819B3" w:rsidRPr="00C819B3" w:rsidRDefault="00C819B3" w:rsidP="00997DBA">
      <w:pPr>
        <w:ind w:left="360"/>
        <w:contextualSpacing/>
        <w:jc w:val="both"/>
        <w:rPr>
          <w:sz w:val="16"/>
          <w:szCs w:val="16"/>
        </w:rPr>
      </w:pPr>
    </w:p>
    <w:p w14:paraId="2F589B1B" w14:textId="77777777" w:rsidR="00C819B3" w:rsidRPr="00C819B3" w:rsidRDefault="00C819B3" w:rsidP="00997DBA">
      <w:pPr>
        <w:pStyle w:val="ListParagraph"/>
        <w:numPr>
          <w:ilvl w:val="0"/>
          <w:numId w:val="1"/>
        </w:numPr>
        <w:jc w:val="both"/>
        <w:rPr>
          <w:sz w:val="16"/>
          <w:szCs w:val="16"/>
        </w:rPr>
      </w:pPr>
      <w:r w:rsidRPr="00C819B3">
        <w:rPr>
          <w:sz w:val="16"/>
          <w:szCs w:val="16"/>
        </w:rPr>
        <w:t>Chen L, Zhao Y, Li Q, Wu H, Fang J. Drug-loading mechanisms of functionalized MWNTs for hydrophobic drug delivery. Advanced Surface Science Letters. 2012;261(7):6785–6792.</w:t>
      </w:r>
    </w:p>
    <w:p w14:paraId="75433013" w14:textId="77777777" w:rsidR="00C819B3" w:rsidRPr="00C819B3" w:rsidRDefault="00C819B3" w:rsidP="00997DBA">
      <w:pPr>
        <w:pStyle w:val="ListParagraph"/>
        <w:jc w:val="both"/>
        <w:rPr>
          <w:sz w:val="16"/>
          <w:szCs w:val="16"/>
        </w:rPr>
      </w:pPr>
    </w:p>
    <w:p w14:paraId="2D983DDE" w14:textId="77777777" w:rsidR="00C819B3" w:rsidRPr="00C819B3" w:rsidRDefault="00C819B3" w:rsidP="00997DBA">
      <w:pPr>
        <w:pStyle w:val="ListParagraph"/>
        <w:numPr>
          <w:ilvl w:val="0"/>
          <w:numId w:val="1"/>
        </w:numPr>
        <w:jc w:val="both"/>
        <w:rPr>
          <w:sz w:val="16"/>
          <w:szCs w:val="16"/>
        </w:rPr>
      </w:pPr>
      <w:r w:rsidRPr="00C819B3">
        <w:rPr>
          <w:sz w:val="16"/>
          <w:szCs w:val="16"/>
        </w:rPr>
        <w:t xml:space="preserve">Kumar S, Rao V, Banerjee R, Singh P. Mechanical </w:t>
      </w:r>
      <w:proofErr w:type="spellStart"/>
      <w:r w:rsidRPr="00C819B3">
        <w:rPr>
          <w:sz w:val="16"/>
          <w:szCs w:val="16"/>
        </w:rPr>
        <w:t>behavior</w:t>
      </w:r>
      <w:proofErr w:type="spellEnd"/>
      <w:r w:rsidRPr="00C819B3">
        <w:rPr>
          <w:sz w:val="16"/>
          <w:szCs w:val="16"/>
        </w:rPr>
        <w:t xml:space="preserve"> of epoxy composites with ozone-treated multiwalled carbon nanotubes. Composite Materials Research. 2013;73(2):15–22.</w:t>
      </w:r>
    </w:p>
    <w:p w14:paraId="448A35F4" w14:textId="77777777" w:rsidR="00C819B3" w:rsidRPr="00C819B3" w:rsidRDefault="00C819B3" w:rsidP="00997DBA">
      <w:pPr>
        <w:pStyle w:val="ListParagraph"/>
        <w:jc w:val="both"/>
        <w:rPr>
          <w:sz w:val="16"/>
          <w:szCs w:val="16"/>
        </w:rPr>
      </w:pPr>
    </w:p>
    <w:p w14:paraId="0544B659" w14:textId="77777777" w:rsidR="00C819B3" w:rsidRPr="00C819B3" w:rsidRDefault="00C819B3" w:rsidP="00997DBA">
      <w:pPr>
        <w:pStyle w:val="ListParagraph"/>
        <w:numPr>
          <w:ilvl w:val="0"/>
          <w:numId w:val="1"/>
        </w:numPr>
        <w:jc w:val="both"/>
        <w:rPr>
          <w:sz w:val="16"/>
          <w:szCs w:val="16"/>
        </w:rPr>
      </w:pPr>
      <w:r w:rsidRPr="00C819B3">
        <w:rPr>
          <w:sz w:val="16"/>
          <w:szCs w:val="16"/>
        </w:rPr>
        <w:t>Patel M, Joshi D, Kaur S. Improved pulmonary delivery of corticosteroids from polymer-based dry powders in rats. Journal of Pharmaceutical Technology. 2015;31(5):210–218.</w:t>
      </w:r>
    </w:p>
    <w:p w14:paraId="38142C9B" w14:textId="77777777" w:rsidR="00C819B3" w:rsidRPr="00C819B3" w:rsidRDefault="00C819B3" w:rsidP="00997DBA">
      <w:pPr>
        <w:pStyle w:val="ListParagraph"/>
        <w:jc w:val="both"/>
        <w:rPr>
          <w:sz w:val="16"/>
          <w:szCs w:val="16"/>
        </w:rPr>
      </w:pPr>
    </w:p>
    <w:p w14:paraId="78FFF997" w14:textId="77777777" w:rsidR="00C819B3" w:rsidRPr="00C819B3" w:rsidRDefault="00C819B3" w:rsidP="00997DBA">
      <w:pPr>
        <w:pStyle w:val="ListParagraph"/>
        <w:numPr>
          <w:ilvl w:val="0"/>
          <w:numId w:val="1"/>
        </w:numPr>
        <w:jc w:val="both"/>
        <w:rPr>
          <w:sz w:val="16"/>
          <w:szCs w:val="16"/>
        </w:rPr>
      </w:pPr>
      <w:r w:rsidRPr="00C819B3">
        <w:rPr>
          <w:sz w:val="16"/>
          <w:szCs w:val="16"/>
        </w:rPr>
        <w:t xml:space="preserve">Iyer K, Reddy P, Choudhury T, Sharma N. Development of cefdinir-loaded </w:t>
      </w:r>
      <w:proofErr w:type="spellStart"/>
      <w:r w:rsidRPr="00C819B3">
        <w:rPr>
          <w:sz w:val="16"/>
          <w:szCs w:val="16"/>
        </w:rPr>
        <w:t>niosomal</w:t>
      </w:r>
      <w:proofErr w:type="spellEnd"/>
      <w:r w:rsidRPr="00C819B3">
        <w:rPr>
          <w:sz w:val="16"/>
          <w:szCs w:val="16"/>
        </w:rPr>
        <w:t xml:space="preserve"> formulations for oral administration. </w:t>
      </w:r>
      <w:proofErr w:type="spellStart"/>
      <w:r w:rsidRPr="00C819B3">
        <w:rPr>
          <w:sz w:val="16"/>
          <w:szCs w:val="16"/>
        </w:rPr>
        <w:t>PharmaBio</w:t>
      </w:r>
      <w:proofErr w:type="spellEnd"/>
      <w:r w:rsidRPr="00C819B3">
        <w:rPr>
          <w:sz w:val="16"/>
          <w:szCs w:val="16"/>
        </w:rPr>
        <w:t xml:space="preserve"> Research Journal. 2014;6(3):305–312.</w:t>
      </w:r>
    </w:p>
    <w:p w14:paraId="0F171A68" w14:textId="77777777" w:rsidR="00C819B3" w:rsidRPr="00C819B3" w:rsidRDefault="00C819B3" w:rsidP="00997DBA">
      <w:pPr>
        <w:pStyle w:val="ListParagraph"/>
        <w:jc w:val="both"/>
        <w:rPr>
          <w:sz w:val="16"/>
          <w:szCs w:val="16"/>
        </w:rPr>
      </w:pPr>
    </w:p>
    <w:p w14:paraId="045CC7B3" w14:textId="77777777" w:rsidR="00C819B3" w:rsidRPr="00C819B3" w:rsidRDefault="00C819B3" w:rsidP="00997DBA">
      <w:pPr>
        <w:pStyle w:val="ListParagraph"/>
        <w:numPr>
          <w:ilvl w:val="0"/>
          <w:numId w:val="1"/>
        </w:numPr>
        <w:jc w:val="both"/>
        <w:rPr>
          <w:sz w:val="16"/>
          <w:szCs w:val="16"/>
        </w:rPr>
      </w:pPr>
      <w:r w:rsidRPr="00C819B3">
        <w:rPr>
          <w:sz w:val="16"/>
          <w:szCs w:val="16"/>
        </w:rPr>
        <w:t xml:space="preserve">Thompson J, Williams H. Using bulk density measurements to predict powder flow </w:t>
      </w:r>
      <w:proofErr w:type="spellStart"/>
      <w:r w:rsidRPr="00C819B3">
        <w:rPr>
          <w:sz w:val="16"/>
          <w:szCs w:val="16"/>
        </w:rPr>
        <w:t>behavior</w:t>
      </w:r>
      <w:proofErr w:type="spellEnd"/>
      <w:r w:rsidRPr="00C819B3">
        <w:rPr>
          <w:sz w:val="16"/>
          <w:szCs w:val="16"/>
        </w:rPr>
        <w:t>. Journal of Powder Engineering. 2000;104(3):155–162.</w:t>
      </w:r>
    </w:p>
    <w:p w14:paraId="7665CF2D" w14:textId="77777777" w:rsidR="00C819B3" w:rsidRPr="00C819B3" w:rsidRDefault="00C819B3" w:rsidP="00997DBA">
      <w:pPr>
        <w:pStyle w:val="ListParagraph"/>
        <w:jc w:val="both"/>
        <w:rPr>
          <w:sz w:val="16"/>
          <w:szCs w:val="16"/>
        </w:rPr>
      </w:pPr>
    </w:p>
    <w:p w14:paraId="3AC9F78B" w14:textId="77777777" w:rsidR="00C819B3" w:rsidRPr="00C819B3" w:rsidRDefault="00C819B3" w:rsidP="00997DBA">
      <w:pPr>
        <w:pStyle w:val="ListParagraph"/>
        <w:numPr>
          <w:ilvl w:val="0"/>
          <w:numId w:val="1"/>
        </w:numPr>
        <w:jc w:val="both"/>
        <w:rPr>
          <w:sz w:val="16"/>
          <w:szCs w:val="16"/>
        </w:rPr>
      </w:pPr>
      <w:r w:rsidRPr="00C819B3">
        <w:rPr>
          <w:sz w:val="16"/>
          <w:szCs w:val="16"/>
        </w:rPr>
        <w:t xml:space="preserve">Singh R, Mehta A, Verma K, Nanda P. Pulmonary delivery of </w:t>
      </w:r>
      <w:proofErr w:type="spellStart"/>
      <w:r w:rsidRPr="00C819B3">
        <w:rPr>
          <w:sz w:val="16"/>
          <w:szCs w:val="16"/>
        </w:rPr>
        <w:t>nanoliposomal</w:t>
      </w:r>
      <w:proofErr w:type="spellEnd"/>
      <w:r w:rsidRPr="00C819B3">
        <w:rPr>
          <w:sz w:val="16"/>
          <w:szCs w:val="16"/>
        </w:rPr>
        <w:t xml:space="preserve"> salbutamol </w:t>
      </w:r>
      <w:proofErr w:type="spellStart"/>
      <w:r w:rsidRPr="00C819B3">
        <w:rPr>
          <w:sz w:val="16"/>
          <w:szCs w:val="16"/>
        </w:rPr>
        <w:t>sulfate</w:t>
      </w:r>
      <w:proofErr w:type="spellEnd"/>
      <w:r w:rsidRPr="00C819B3">
        <w:rPr>
          <w:sz w:val="16"/>
          <w:szCs w:val="16"/>
        </w:rPr>
        <w:t xml:space="preserve"> for asthma therapy. Journal of Nano-Drug Delivery. 2020;30(2):320–328.</w:t>
      </w:r>
    </w:p>
    <w:p w14:paraId="712A759F" w14:textId="77777777" w:rsidR="00C819B3" w:rsidRPr="00C819B3" w:rsidRDefault="00C819B3" w:rsidP="00997DBA">
      <w:pPr>
        <w:pStyle w:val="ListParagraph"/>
        <w:jc w:val="both"/>
        <w:rPr>
          <w:sz w:val="16"/>
          <w:szCs w:val="16"/>
        </w:rPr>
      </w:pPr>
    </w:p>
    <w:p w14:paraId="04EF44B5" w14:textId="77777777" w:rsidR="00C819B3" w:rsidRPr="00C819B3" w:rsidRDefault="00C819B3" w:rsidP="00997DBA">
      <w:pPr>
        <w:pStyle w:val="ListParagraph"/>
        <w:numPr>
          <w:ilvl w:val="0"/>
          <w:numId w:val="1"/>
        </w:numPr>
        <w:jc w:val="both"/>
        <w:rPr>
          <w:sz w:val="16"/>
          <w:szCs w:val="16"/>
        </w:rPr>
      </w:pPr>
      <w:r w:rsidRPr="00C819B3">
        <w:rPr>
          <w:sz w:val="16"/>
          <w:szCs w:val="16"/>
        </w:rPr>
        <w:t>Wilson D, Clark P, Evans R. Laser diffraction techniques for particle size analysis in powders. Geoscience and Materials Journal. 2005;235(1):70–78.</w:t>
      </w:r>
    </w:p>
    <w:p w14:paraId="6A2B959D" w14:textId="77777777" w:rsidR="00C819B3" w:rsidRPr="00C819B3" w:rsidRDefault="00C819B3" w:rsidP="00997DBA">
      <w:pPr>
        <w:pStyle w:val="ListParagraph"/>
        <w:jc w:val="both"/>
        <w:rPr>
          <w:sz w:val="16"/>
          <w:szCs w:val="16"/>
        </w:rPr>
      </w:pPr>
    </w:p>
    <w:p w14:paraId="25179B47" w14:textId="77777777" w:rsidR="00C819B3" w:rsidRPr="00C819B3" w:rsidRDefault="00C819B3" w:rsidP="00997DBA">
      <w:pPr>
        <w:pStyle w:val="ListParagraph"/>
        <w:numPr>
          <w:ilvl w:val="0"/>
          <w:numId w:val="1"/>
        </w:numPr>
        <w:jc w:val="both"/>
        <w:rPr>
          <w:sz w:val="16"/>
          <w:szCs w:val="16"/>
        </w:rPr>
      </w:pPr>
      <w:r w:rsidRPr="00C819B3">
        <w:rPr>
          <w:sz w:val="16"/>
          <w:szCs w:val="16"/>
        </w:rPr>
        <w:t>Zhao H, Li T, Wang F. Comparison of dialysis and dispersion methods for in vitro drug release from liposomes. Journal of Pharmaceutical Dissolution Technology. 2009;16(1):10–16.</w:t>
      </w:r>
    </w:p>
    <w:p w14:paraId="15ACB435" w14:textId="77777777" w:rsidR="00C819B3" w:rsidRPr="00C819B3" w:rsidRDefault="00C819B3" w:rsidP="00997DBA">
      <w:pPr>
        <w:pStyle w:val="ListParagraph"/>
        <w:jc w:val="both"/>
        <w:rPr>
          <w:sz w:val="16"/>
          <w:szCs w:val="16"/>
        </w:rPr>
      </w:pPr>
    </w:p>
    <w:p w14:paraId="1D8A1EB0" w14:textId="77777777" w:rsidR="00C819B3" w:rsidRPr="00C819B3" w:rsidRDefault="00C819B3" w:rsidP="00997DBA">
      <w:pPr>
        <w:pStyle w:val="ListParagraph"/>
        <w:numPr>
          <w:ilvl w:val="0"/>
          <w:numId w:val="1"/>
        </w:numPr>
        <w:jc w:val="both"/>
        <w:rPr>
          <w:sz w:val="16"/>
          <w:szCs w:val="16"/>
        </w:rPr>
      </w:pPr>
      <w:r w:rsidRPr="00C819B3">
        <w:rPr>
          <w:sz w:val="16"/>
          <w:szCs w:val="16"/>
        </w:rPr>
        <w:t xml:space="preserve">Kumar V, Rathi S, Agarwal P. Particle engineering via </w:t>
      </w:r>
      <w:proofErr w:type="spellStart"/>
      <w:r w:rsidRPr="00C819B3">
        <w:rPr>
          <w:sz w:val="16"/>
          <w:szCs w:val="16"/>
        </w:rPr>
        <w:t>sonocrystallization</w:t>
      </w:r>
      <w:proofErr w:type="spellEnd"/>
      <w:r w:rsidRPr="00C819B3">
        <w:rPr>
          <w:sz w:val="16"/>
          <w:szCs w:val="16"/>
        </w:rPr>
        <w:t xml:space="preserve">: pulmonary delivery of salbutamol </w:t>
      </w:r>
      <w:proofErr w:type="spellStart"/>
      <w:r w:rsidRPr="00C819B3">
        <w:rPr>
          <w:sz w:val="16"/>
          <w:szCs w:val="16"/>
        </w:rPr>
        <w:t>sulfate</w:t>
      </w:r>
      <w:proofErr w:type="spellEnd"/>
      <w:r w:rsidRPr="00C819B3">
        <w:rPr>
          <w:sz w:val="16"/>
          <w:szCs w:val="16"/>
        </w:rPr>
        <w:t>. International Journal of Pharmaceutics Engineering. 2010;370(2):140–148.</w:t>
      </w:r>
    </w:p>
    <w:p w14:paraId="56C7F9B6" w14:textId="77777777" w:rsidR="00C819B3" w:rsidRPr="00C819B3" w:rsidRDefault="00C819B3" w:rsidP="00997DBA">
      <w:pPr>
        <w:pStyle w:val="ListParagraph"/>
        <w:jc w:val="both"/>
        <w:rPr>
          <w:sz w:val="16"/>
          <w:szCs w:val="16"/>
        </w:rPr>
      </w:pPr>
    </w:p>
    <w:p w14:paraId="50C3A8A9" w14:textId="77777777" w:rsidR="00C819B3" w:rsidRPr="00C819B3" w:rsidRDefault="00C819B3" w:rsidP="00997DBA">
      <w:pPr>
        <w:pStyle w:val="ListParagraph"/>
        <w:numPr>
          <w:ilvl w:val="0"/>
          <w:numId w:val="1"/>
        </w:numPr>
        <w:jc w:val="both"/>
        <w:rPr>
          <w:sz w:val="16"/>
          <w:szCs w:val="16"/>
        </w:rPr>
      </w:pPr>
      <w:r w:rsidRPr="00C819B3">
        <w:rPr>
          <w:sz w:val="16"/>
          <w:szCs w:val="16"/>
        </w:rPr>
        <w:t xml:space="preserve">Ahmed S, Liu Y, Tan J. Effect of particle morphology on aerosolization and deposition of dry powders. AAPS </w:t>
      </w:r>
      <w:proofErr w:type="spellStart"/>
      <w:r w:rsidRPr="00C819B3">
        <w:rPr>
          <w:sz w:val="16"/>
          <w:szCs w:val="16"/>
        </w:rPr>
        <w:t>PharmSciTech</w:t>
      </w:r>
      <w:proofErr w:type="spellEnd"/>
      <w:r w:rsidRPr="00C819B3">
        <w:rPr>
          <w:sz w:val="16"/>
          <w:szCs w:val="16"/>
        </w:rPr>
        <w:t>. 2011;11(3):1250–1258.</w:t>
      </w:r>
    </w:p>
    <w:p w14:paraId="7D2A4AA9" w14:textId="77777777" w:rsidR="00C819B3" w:rsidRPr="00C819B3" w:rsidRDefault="00C819B3" w:rsidP="00997DBA">
      <w:pPr>
        <w:pStyle w:val="ListParagraph"/>
        <w:jc w:val="both"/>
        <w:rPr>
          <w:sz w:val="16"/>
          <w:szCs w:val="16"/>
        </w:rPr>
      </w:pPr>
    </w:p>
    <w:p w14:paraId="5A7F2B7B" w14:textId="77777777" w:rsidR="00C819B3" w:rsidRPr="00C819B3" w:rsidRDefault="00C819B3" w:rsidP="00997DBA">
      <w:pPr>
        <w:pStyle w:val="ListParagraph"/>
        <w:numPr>
          <w:ilvl w:val="0"/>
          <w:numId w:val="1"/>
        </w:numPr>
        <w:jc w:val="both"/>
        <w:rPr>
          <w:sz w:val="16"/>
          <w:szCs w:val="16"/>
        </w:rPr>
      </w:pPr>
      <w:r w:rsidRPr="00C819B3">
        <w:rPr>
          <w:sz w:val="16"/>
          <w:szCs w:val="16"/>
        </w:rPr>
        <w:t>Lee M, Braun F, Kühn T, Wagner S. Comparative inhalation toxicity of carbon nanomaterials in rats. Particle and Fibre Research. 2014;11(1):25.</w:t>
      </w:r>
    </w:p>
    <w:p w14:paraId="5BB3F1B6" w14:textId="77777777" w:rsidR="00C819B3" w:rsidRPr="00C819B3" w:rsidRDefault="00C819B3" w:rsidP="00997DBA">
      <w:pPr>
        <w:pStyle w:val="ListParagraph"/>
        <w:jc w:val="both"/>
        <w:rPr>
          <w:sz w:val="16"/>
          <w:szCs w:val="16"/>
        </w:rPr>
      </w:pPr>
    </w:p>
    <w:p w14:paraId="214CBFC4" w14:textId="77777777" w:rsidR="00C819B3" w:rsidRPr="00C819B3" w:rsidRDefault="00C819B3" w:rsidP="00997DBA">
      <w:pPr>
        <w:pStyle w:val="ListParagraph"/>
        <w:numPr>
          <w:ilvl w:val="0"/>
          <w:numId w:val="1"/>
        </w:numPr>
        <w:jc w:val="both"/>
        <w:rPr>
          <w:sz w:val="16"/>
          <w:szCs w:val="16"/>
        </w:rPr>
      </w:pPr>
      <w:r w:rsidRPr="00C819B3">
        <w:rPr>
          <w:sz w:val="16"/>
          <w:szCs w:val="16"/>
        </w:rPr>
        <w:t>Park J, Kim S, Choi H. Twenty-eight-day inhalation toxicity study of silver nanoparticles in rodents. Inhalation Toxicology Reports. 2008;20(5):860–870.</w:t>
      </w:r>
    </w:p>
    <w:p w14:paraId="18658438" w14:textId="77777777" w:rsidR="00C819B3" w:rsidRPr="00C819B3" w:rsidRDefault="00C819B3" w:rsidP="00997DBA">
      <w:pPr>
        <w:pStyle w:val="ListParagraph"/>
        <w:jc w:val="both"/>
        <w:rPr>
          <w:sz w:val="16"/>
          <w:szCs w:val="16"/>
        </w:rPr>
      </w:pPr>
    </w:p>
    <w:p w14:paraId="098E0CCC" w14:textId="77777777" w:rsidR="00C819B3" w:rsidRPr="00C819B3" w:rsidRDefault="00C819B3" w:rsidP="00997DBA">
      <w:pPr>
        <w:pStyle w:val="ListParagraph"/>
        <w:numPr>
          <w:ilvl w:val="0"/>
          <w:numId w:val="1"/>
        </w:numPr>
        <w:jc w:val="both"/>
        <w:rPr>
          <w:sz w:val="16"/>
          <w:szCs w:val="16"/>
        </w:rPr>
      </w:pPr>
      <w:r w:rsidRPr="00C819B3">
        <w:rPr>
          <w:sz w:val="16"/>
          <w:szCs w:val="16"/>
        </w:rPr>
        <w:t xml:space="preserve">Farahani M, Ghasemi A, </w:t>
      </w:r>
      <w:proofErr w:type="spellStart"/>
      <w:r w:rsidRPr="00C819B3">
        <w:rPr>
          <w:sz w:val="16"/>
          <w:szCs w:val="16"/>
        </w:rPr>
        <w:t>Moazeni</w:t>
      </w:r>
      <w:proofErr w:type="spellEnd"/>
      <w:r w:rsidRPr="00C819B3">
        <w:rPr>
          <w:sz w:val="16"/>
          <w:szCs w:val="16"/>
        </w:rPr>
        <w:t xml:space="preserve"> E. Development of chitosan-based nanoparticles for pulmonary delivery as dry powders. Powder Technology Advances. </w:t>
      </w:r>
      <w:proofErr w:type="gramStart"/>
      <w:r w:rsidRPr="00C819B3">
        <w:rPr>
          <w:sz w:val="16"/>
          <w:szCs w:val="16"/>
        </w:rPr>
        <w:t>2013;225:70</w:t>
      </w:r>
      <w:proofErr w:type="gramEnd"/>
      <w:r w:rsidRPr="00C819B3">
        <w:rPr>
          <w:sz w:val="16"/>
          <w:szCs w:val="16"/>
        </w:rPr>
        <w:t>–78.</w:t>
      </w:r>
    </w:p>
    <w:p w14:paraId="298DA748" w14:textId="77777777" w:rsidR="00C819B3" w:rsidRPr="00C819B3" w:rsidRDefault="00C819B3" w:rsidP="00997DBA">
      <w:pPr>
        <w:pStyle w:val="ListParagraph"/>
        <w:jc w:val="both"/>
        <w:rPr>
          <w:sz w:val="16"/>
          <w:szCs w:val="16"/>
        </w:rPr>
      </w:pPr>
    </w:p>
    <w:p w14:paraId="3A573F56" w14:textId="77777777" w:rsidR="00C819B3" w:rsidRPr="00C819B3" w:rsidRDefault="00C819B3" w:rsidP="00997DBA">
      <w:pPr>
        <w:pStyle w:val="ListParagraph"/>
        <w:numPr>
          <w:ilvl w:val="0"/>
          <w:numId w:val="1"/>
        </w:numPr>
        <w:jc w:val="both"/>
        <w:rPr>
          <w:sz w:val="16"/>
          <w:szCs w:val="16"/>
        </w:rPr>
      </w:pPr>
      <w:r w:rsidRPr="00C819B3">
        <w:rPr>
          <w:sz w:val="16"/>
          <w:szCs w:val="16"/>
        </w:rPr>
        <w:t>Rossi S, Havel M, Nguyen T. Monitoring oxidation of multiwalled carbon nanotubes by Raman spectroscopy. Journal of Raman Analysis. 2008;39(7):735–742.</w:t>
      </w:r>
    </w:p>
    <w:p w14:paraId="40259957" w14:textId="77777777" w:rsidR="00C819B3" w:rsidRPr="00C819B3" w:rsidRDefault="00C819B3" w:rsidP="00997DBA">
      <w:pPr>
        <w:pStyle w:val="ListParagraph"/>
        <w:jc w:val="both"/>
        <w:rPr>
          <w:sz w:val="16"/>
          <w:szCs w:val="16"/>
        </w:rPr>
      </w:pPr>
    </w:p>
    <w:p w14:paraId="7D7862F0" w14:textId="77777777" w:rsidR="00C819B3" w:rsidRPr="00C819B3" w:rsidRDefault="00C819B3" w:rsidP="00C819B3">
      <w:pPr>
        <w:pStyle w:val="ListParagraph"/>
        <w:numPr>
          <w:ilvl w:val="0"/>
          <w:numId w:val="1"/>
        </w:numPr>
        <w:jc w:val="both"/>
        <w:rPr>
          <w:sz w:val="16"/>
          <w:szCs w:val="16"/>
        </w:rPr>
      </w:pPr>
      <w:r w:rsidRPr="00C819B3">
        <w:rPr>
          <w:sz w:val="16"/>
          <w:szCs w:val="16"/>
        </w:rPr>
        <w:t>Auriemma A, Di Marco F. Formulation and in vitro evaluation of gentamicin dry powder inhalers: aerosol performance and cytotoxicity. International Journal of Pharmaceutics Research. 2013;427(2):105–112.</w:t>
      </w:r>
    </w:p>
    <w:p w14:paraId="0E788435" w14:textId="77777777" w:rsidR="00C819B3" w:rsidRPr="00C819B3" w:rsidRDefault="00C819B3" w:rsidP="00C819B3">
      <w:pPr>
        <w:pStyle w:val="ListParagraph"/>
        <w:jc w:val="both"/>
        <w:rPr>
          <w:sz w:val="16"/>
          <w:szCs w:val="16"/>
        </w:rPr>
      </w:pPr>
    </w:p>
    <w:p w14:paraId="407491D6" w14:textId="77777777" w:rsidR="00C819B3" w:rsidRPr="00C819B3" w:rsidRDefault="00C819B3" w:rsidP="00C819B3">
      <w:pPr>
        <w:pStyle w:val="ListParagraph"/>
        <w:numPr>
          <w:ilvl w:val="0"/>
          <w:numId w:val="1"/>
        </w:numPr>
        <w:jc w:val="both"/>
        <w:rPr>
          <w:sz w:val="16"/>
          <w:szCs w:val="16"/>
        </w:rPr>
      </w:pPr>
      <w:proofErr w:type="spellStart"/>
      <w:r w:rsidRPr="00C819B3">
        <w:rPr>
          <w:sz w:val="16"/>
          <w:szCs w:val="16"/>
        </w:rPr>
        <w:t>Dolatabadi</w:t>
      </w:r>
      <w:proofErr w:type="spellEnd"/>
      <w:r w:rsidRPr="00C819B3">
        <w:rPr>
          <w:sz w:val="16"/>
          <w:szCs w:val="16"/>
        </w:rPr>
        <w:t xml:space="preserve"> J, </w:t>
      </w:r>
      <w:proofErr w:type="spellStart"/>
      <w:r w:rsidRPr="00C819B3">
        <w:rPr>
          <w:sz w:val="16"/>
          <w:szCs w:val="16"/>
        </w:rPr>
        <w:t>Hamishehkar</w:t>
      </w:r>
      <w:proofErr w:type="spellEnd"/>
      <w:r w:rsidRPr="00C819B3">
        <w:rPr>
          <w:sz w:val="16"/>
          <w:szCs w:val="16"/>
        </w:rPr>
        <w:t xml:space="preserve"> H, Valizadeh H. Dry powder inhaler formulation of alendronate-loaded solid lipid nanoparticles: characterization and aerosolization. Drug Development &amp; Industrial Pharmacy. 2016;42(8):1440–1448.</w:t>
      </w:r>
    </w:p>
    <w:p w14:paraId="530B9B81" w14:textId="77777777" w:rsidR="00C819B3" w:rsidRPr="00C819B3" w:rsidRDefault="00C819B3" w:rsidP="00C819B3">
      <w:pPr>
        <w:pStyle w:val="ListParagraph"/>
        <w:jc w:val="both"/>
        <w:rPr>
          <w:sz w:val="16"/>
          <w:szCs w:val="16"/>
        </w:rPr>
      </w:pPr>
    </w:p>
    <w:p w14:paraId="7AE9DB15" w14:textId="7AACD0B3" w:rsidR="00CA55D9" w:rsidRDefault="00C819B3" w:rsidP="00CA55D9">
      <w:pPr>
        <w:pStyle w:val="ListParagraph"/>
        <w:numPr>
          <w:ilvl w:val="0"/>
          <w:numId w:val="1"/>
        </w:numPr>
        <w:jc w:val="both"/>
        <w:rPr>
          <w:sz w:val="16"/>
          <w:szCs w:val="16"/>
        </w:rPr>
      </w:pPr>
      <w:r w:rsidRPr="00C819B3">
        <w:rPr>
          <w:sz w:val="16"/>
          <w:szCs w:val="16"/>
        </w:rPr>
        <w:lastRenderedPageBreak/>
        <w:t>Fischer J, Benoit JP, Akiki J. Effect of microparticle size on controlled drug release: theory and experiments. Journal of Controlled Release Systems. 2005;97(1):125–132.</w:t>
      </w:r>
      <w:r w:rsidR="00CA55D9">
        <w:rPr>
          <w:sz w:val="16"/>
          <w:szCs w:val="16"/>
        </w:rPr>
        <w:t xml:space="preserve"> </w:t>
      </w:r>
    </w:p>
    <w:p w14:paraId="140FAFAA" w14:textId="77777777" w:rsidR="00CA55D9" w:rsidRPr="00CA55D9" w:rsidRDefault="00CA55D9" w:rsidP="00CA55D9">
      <w:pPr>
        <w:pStyle w:val="ListParagraph"/>
        <w:rPr>
          <w:rStyle w:val="citation-doi"/>
          <w:sz w:val="16"/>
          <w:szCs w:val="16"/>
        </w:rPr>
      </w:pPr>
    </w:p>
    <w:p w14:paraId="6D383A2C" w14:textId="75D663C3" w:rsidR="00CA55D9" w:rsidRPr="00CA55D9" w:rsidRDefault="00CA55D9" w:rsidP="00CA55D9">
      <w:pPr>
        <w:jc w:val="both"/>
        <w:rPr>
          <w:rFonts w:ascii="Source Sans Pro" w:hAnsi="Source Sans Pro"/>
          <w:b/>
          <w:i/>
          <w:iCs/>
          <w:color w:val="ED7D31" w:themeColor="accent2"/>
          <w:sz w:val="18"/>
          <w:szCs w:val="18"/>
          <w:lang w:val="en-US" w:eastAsia="en-US"/>
        </w:rPr>
      </w:pPr>
      <w:r>
        <w:rPr>
          <w:rFonts w:ascii="Source Sans Pro" w:hAnsi="Source Sans Pro"/>
          <w:b/>
          <w:i/>
          <w:iCs/>
          <w:color w:val="ED7D31" w:themeColor="accent2"/>
          <w:sz w:val="20"/>
          <w:szCs w:val="18"/>
        </w:rPr>
        <w:t xml:space="preserve">                                                                                                                                                        </w:t>
      </w:r>
      <w:r w:rsidRPr="00CA55D9">
        <w:rPr>
          <w:rFonts w:ascii="Source Sans Pro" w:hAnsi="Source Sans Pro"/>
          <w:b/>
          <w:i/>
          <w:iCs/>
          <w:color w:val="ED7D31" w:themeColor="accent2"/>
          <w:sz w:val="20"/>
          <w:szCs w:val="18"/>
        </w:rPr>
        <w:t>Content (Times New Roman front 8)</w:t>
      </w:r>
    </w:p>
    <w:p w14:paraId="6BA78113" w14:textId="77777777" w:rsidR="00CA55D9" w:rsidRPr="00CA55D9" w:rsidRDefault="00CA55D9" w:rsidP="00CA55D9">
      <w:pPr>
        <w:pStyle w:val="ListParagraph"/>
        <w:jc w:val="both"/>
        <w:rPr>
          <w:rStyle w:val="citation-doi"/>
          <w:sz w:val="16"/>
          <w:szCs w:val="16"/>
        </w:rPr>
      </w:pPr>
    </w:p>
    <w:sectPr w:rsidR="00CA55D9" w:rsidRPr="00CA55D9" w:rsidSect="00EB4611">
      <w:footerReference w:type="default" r:id="rId14"/>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EBE3" w14:textId="77777777" w:rsidR="002660A6" w:rsidRDefault="002660A6" w:rsidP="00277ED3">
      <w:r>
        <w:separator/>
      </w:r>
    </w:p>
  </w:endnote>
  <w:endnote w:type="continuationSeparator" w:id="0">
    <w:p w14:paraId="3CEB4FDA" w14:textId="77777777" w:rsidR="002660A6" w:rsidRDefault="002660A6" w:rsidP="0027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TimesNewRomanPSMT">
    <w:altName w:val="Arial Unicode MS"/>
    <w:panose1 w:val="00000000000000000000"/>
    <w:charset w:val="81"/>
    <w:family w:val="auto"/>
    <w:notTrueType/>
    <w:pitch w:val="default"/>
    <w:sig w:usb0="00000003" w:usb1="09070000" w:usb2="00000010" w:usb3="00000000" w:csb0="000A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A669" w14:textId="77777777" w:rsidR="00277ED3" w:rsidRDefault="00277ED3">
    <w:pPr>
      <w:pStyle w:val="Footer"/>
      <w:jc w:val="center"/>
    </w:pPr>
    <w:r>
      <w:fldChar w:fldCharType="begin"/>
    </w:r>
    <w:r>
      <w:instrText xml:space="preserve"> PAGE   \* MERGEFORMAT </w:instrText>
    </w:r>
    <w:r>
      <w:fldChar w:fldCharType="separate"/>
    </w:r>
    <w:r>
      <w:rPr>
        <w:noProof/>
      </w:rPr>
      <w:t>2</w:t>
    </w:r>
    <w:r>
      <w:rPr>
        <w:noProof/>
      </w:rPr>
      <w:fldChar w:fldCharType="end"/>
    </w:r>
  </w:p>
  <w:p w14:paraId="1963F8BE" w14:textId="77777777" w:rsidR="00277ED3" w:rsidRDefault="00277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5554" w14:textId="77777777" w:rsidR="002660A6" w:rsidRDefault="002660A6" w:rsidP="00277ED3">
      <w:r>
        <w:separator/>
      </w:r>
    </w:p>
  </w:footnote>
  <w:footnote w:type="continuationSeparator" w:id="0">
    <w:p w14:paraId="11035E00" w14:textId="77777777" w:rsidR="002660A6" w:rsidRDefault="002660A6" w:rsidP="00277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95D"/>
    <w:multiLevelType w:val="hybridMultilevel"/>
    <w:tmpl w:val="B0F2B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381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4A"/>
    <w:rsid w:val="000159B0"/>
    <w:rsid w:val="00016909"/>
    <w:rsid w:val="0003686C"/>
    <w:rsid w:val="00037507"/>
    <w:rsid w:val="000504D4"/>
    <w:rsid w:val="000558FD"/>
    <w:rsid w:val="000667D5"/>
    <w:rsid w:val="00071980"/>
    <w:rsid w:val="000975C7"/>
    <w:rsid w:val="000B38D7"/>
    <w:rsid w:val="000B39B0"/>
    <w:rsid w:val="000B4B0C"/>
    <w:rsid w:val="000D7D94"/>
    <w:rsid w:val="000E0CBB"/>
    <w:rsid w:val="000F0BA8"/>
    <w:rsid w:val="000F5D78"/>
    <w:rsid w:val="001142A4"/>
    <w:rsid w:val="00136D0F"/>
    <w:rsid w:val="001467BD"/>
    <w:rsid w:val="00162ACF"/>
    <w:rsid w:val="001732D1"/>
    <w:rsid w:val="00187EC5"/>
    <w:rsid w:val="001B0225"/>
    <w:rsid w:val="001F6350"/>
    <w:rsid w:val="00200A3A"/>
    <w:rsid w:val="00205717"/>
    <w:rsid w:val="00217BBE"/>
    <w:rsid w:val="00225D4A"/>
    <w:rsid w:val="00231CB4"/>
    <w:rsid w:val="002325FA"/>
    <w:rsid w:val="002465EE"/>
    <w:rsid w:val="00247CCC"/>
    <w:rsid w:val="00250AAF"/>
    <w:rsid w:val="002660A6"/>
    <w:rsid w:val="00277ED3"/>
    <w:rsid w:val="002820B3"/>
    <w:rsid w:val="002901A1"/>
    <w:rsid w:val="002A4F63"/>
    <w:rsid w:val="002A767A"/>
    <w:rsid w:val="002B1BA0"/>
    <w:rsid w:val="002C0C3C"/>
    <w:rsid w:val="002E1836"/>
    <w:rsid w:val="002F015A"/>
    <w:rsid w:val="002F4F27"/>
    <w:rsid w:val="003013CF"/>
    <w:rsid w:val="00312483"/>
    <w:rsid w:val="00313E47"/>
    <w:rsid w:val="00344F83"/>
    <w:rsid w:val="00346E13"/>
    <w:rsid w:val="00353778"/>
    <w:rsid w:val="00387822"/>
    <w:rsid w:val="003B4D32"/>
    <w:rsid w:val="003B4F94"/>
    <w:rsid w:val="003D0E85"/>
    <w:rsid w:val="003E015C"/>
    <w:rsid w:val="00400BBA"/>
    <w:rsid w:val="00417E61"/>
    <w:rsid w:val="004251E2"/>
    <w:rsid w:val="00434D97"/>
    <w:rsid w:val="004441BE"/>
    <w:rsid w:val="00453655"/>
    <w:rsid w:val="00457FF3"/>
    <w:rsid w:val="00467E96"/>
    <w:rsid w:val="004864BE"/>
    <w:rsid w:val="00486AFC"/>
    <w:rsid w:val="004953E2"/>
    <w:rsid w:val="004A3658"/>
    <w:rsid w:val="004C5525"/>
    <w:rsid w:val="004C7F27"/>
    <w:rsid w:val="004D4EE6"/>
    <w:rsid w:val="004D77C7"/>
    <w:rsid w:val="004E1C62"/>
    <w:rsid w:val="004E52AD"/>
    <w:rsid w:val="004E5793"/>
    <w:rsid w:val="004F476A"/>
    <w:rsid w:val="005043BB"/>
    <w:rsid w:val="00505D80"/>
    <w:rsid w:val="0051017B"/>
    <w:rsid w:val="0051700E"/>
    <w:rsid w:val="005229A0"/>
    <w:rsid w:val="00531639"/>
    <w:rsid w:val="005378FA"/>
    <w:rsid w:val="00572AFC"/>
    <w:rsid w:val="005966D0"/>
    <w:rsid w:val="005B0775"/>
    <w:rsid w:val="005B1251"/>
    <w:rsid w:val="005B2C63"/>
    <w:rsid w:val="005D48C9"/>
    <w:rsid w:val="005E44FF"/>
    <w:rsid w:val="005E4AB8"/>
    <w:rsid w:val="005F111D"/>
    <w:rsid w:val="005F60C7"/>
    <w:rsid w:val="00612B86"/>
    <w:rsid w:val="006140B0"/>
    <w:rsid w:val="00626236"/>
    <w:rsid w:val="006306E7"/>
    <w:rsid w:val="0064719F"/>
    <w:rsid w:val="006507C2"/>
    <w:rsid w:val="006602BF"/>
    <w:rsid w:val="00661DF9"/>
    <w:rsid w:val="0066405F"/>
    <w:rsid w:val="006663BC"/>
    <w:rsid w:val="00670E96"/>
    <w:rsid w:val="006769FB"/>
    <w:rsid w:val="00677327"/>
    <w:rsid w:val="00680F86"/>
    <w:rsid w:val="0068448E"/>
    <w:rsid w:val="006873CD"/>
    <w:rsid w:val="0069198B"/>
    <w:rsid w:val="00691FB7"/>
    <w:rsid w:val="006A252B"/>
    <w:rsid w:val="006A68E2"/>
    <w:rsid w:val="006C08B7"/>
    <w:rsid w:val="006C59E8"/>
    <w:rsid w:val="006E449A"/>
    <w:rsid w:val="00723FC4"/>
    <w:rsid w:val="00734559"/>
    <w:rsid w:val="00741ACD"/>
    <w:rsid w:val="00746E6D"/>
    <w:rsid w:val="0075050A"/>
    <w:rsid w:val="0075368E"/>
    <w:rsid w:val="00753B08"/>
    <w:rsid w:val="00775F71"/>
    <w:rsid w:val="007A6007"/>
    <w:rsid w:val="007B6131"/>
    <w:rsid w:val="007C25FC"/>
    <w:rsid w:val="007D4DCB"/>
    <w:rsid w:val="0080183C"/>
    <w:rsid w:val="00823F74"/>
    <w:rsid w:val="0083205D"/>
    <w:rsid w:val="008503E5"/>
    <w:rsid w:val="00856BD0"/>
    <w:rsid w:val="00864C9D"/>
    <w:rsid w:val="008665D5"/>
    <w:rsid w:val="008724EA"/>
    <w:rsid w:val="008727CB"/>
    <w:rsid w:val="00890969"/>
    <w:rsid w:val="00892602"/>
    <w:rsid w:val="00892B0B"/>
    <w:rsid w:val="00896611"/>
    <w:rsid w:val="008A0EC5"/>
    <w:rsid w:val="008C19E7"/>
    <w:rsid w:val="008F32BD"/>
    <w:rsid w:val="008F42B7"/>
    <w:rsid w:val="00904BD9"/>
    <w:rsid w:val="00906790"/>
    <w:rsid w:val="0091444E"/>
    <w:rsid w:val="009162C3"/>
    <w:rsid w:val="00923553"/>
    <w:rsid w:val="00931942"/>
    <w:rsid w:val="00956512"/>
    <w:rsid w:val="00957A81"/>
    <w:rsid w:val="00966B5B"/>
    <w:rsid w:val="00974084"/>
    <w:rsid w:val="00997DBA"/>
    <w:rsid w:val="009A03B6"/>
    <w:rsid w:val="009B7B69"/>
    <w:rsid w:val="009E46CB"/>
    <w:rsid w:val="009F5872"/>
    <w:rsid w:val="00A0262E"/>
    <w:rsid w:val="00A14C11"/>
    <w:rsid w:val="00A32EDC"/>
    <w:rsid w:val="00A427BF"/>
    <w:rsid w:val="00A47AA4"/>
    <w:rsid w:val="00A53616"/>
    <w:rsid w:val="00A67CDC"/>
    <w:rsid w:val="00A761F5"/>
    <w:rsid w:val="00A8161E"/>
    <w:rsid w:val="00A82C91"/>
    <w:rsid w:val="00A83E15"/>
    <w:rsid w:val="00AA5FC0"/>
    <w:rsid w:val="00AC7820"/>
    <w:rsid w:val="00AE291E"/>
    <w:rsid w:val="00AF3310"/>
    <w:rsid w:val="00AF4115"/>
    <w:rsid w:val="00B21543"/>
    <w:rsid w:val="00B45BC6"/>
    <w:rsid w:val="00B45E2D"/>
    <w:rsid w:val="00B606C4"/>
    <w:rsid w:val="00B710B4"/>
    <w:rsid w:val="00B9175C"/>
    <w:rsid w:val="00B937F2"/>
    <w:rsid w:val="00B958BD"/>
    <w:rsid w:val="00BA1DE9"/>
    <w:rsid w:val="00BC6A99"/>
    <w:rsid w:val="00BD12DB"/>
    <w:rsid w:val="00BE0277"/>
    <w:rsid w:val="00BE29DA"/>
    <w:rsid w:val="00BF3654"/>
    <w:rsid w:val="00C00CFB"/>
    <w:rsid w:val="00C051A7"/>
    <w:rsid w:val="00C14415"/>
    <w:rsid w:val="00C1519E"/>
    <w:rsid w:val="00C15E10"/>
    <w:rsid w:val="00C23E1F"/>
    <w:rsid w:val="00C27C94"/>
    <w:rsid w:val="00C4008C"/>
    <w:rsid w:val="00C4084A"/>
    <w:rsid w:val="00C45964"/>
    <w:rsid w:val="00C460C0"/>
    <w:rsid w:val="00C476A4"/>
    <w:rsid w:val="00C56517"/>
    <w:rsid w:val="00C64BA5"/>
    <w:rsid w:val="00C658E0"/>
    <w:rsid w:val="00C67B91"/>
    <w:rsid w:val="00C70CB7"/>
    <w:rsid w:val="00C7459A"/>
    <w:rsid w:val="00C75257"/>
    <w:rsid w:val="00C819B3"/>
    <w:rsid w:val="00C8296B"/>
    <w:rsid w:val="00C86540"/>
    <w:rsid w:val="00CA03C5"/>
    <w:rsid w:val="00CA3744"/>
    <w:rsid w:val="00CA41ED"/>
    <w:rsid w:val="00CA55D9"/>
    <w:rsid w:val="00CB2A27"/>
    <w:rsid w:val="00CC52C2"/>
    <w:rsid w:val="00CC6096"/>
    <w:rsid w:val="00CD60A8"/>
    <w:rsid w:val="00CE3931"/>
    <w:rsid w:val="00CF62A9"/>
    <w:rsid w:val="00CF7F0B"/>
    <w:rsid w:val="00D10DB6"/>
    <w:rsid w:val="00D11162"/>
    <w:rsid w:val="00D1184C"/>
    <w:rsid w:val="00D13473"/>
    <w:rsid w:val="00D13D8F"/>
    <w:rsid w:val="00D24F1A"/>
    <w:rsid w:val="00D30095"/>
    <w:rsid w:val="00D30B65"/>
    <w:rsid w:val="00D529FD"/>
    <w:rsid w:val="00D56291"/>
    <w:rsid w:val="00D60C4D"/>
    <w:rsid w:val="00D741F2"/>
    <w:rsid w:val="00D80C6B"/>
    <w:rsid w:val="00D93A83"/>
    <w:rsid w:val="00DA2981"/>
    <w:rsid w:val="00DA62BA"/>
    <w:rsid w:val="00DB3725"/>
    <w:rsid w:val="00DD3934"/>
    <w:rsid w:val="00DD40C5"/>
    <w:rsid w:val="00DD52F3"/>
    <w:rsid w:val="00DF0AA4"/>
    <w:rsid w:val="00DF7823"/>
    <w:rsid w:val="00E05CD2"/>
    <w:rsid w:val="00E15DEB"/>
    <w:rsid w:val="00E34375"/>
    <w:rsid w:val="00E43F6B"/>
    <w:rsid w:val="00E44753"/>
    <w:rsid w:val="00E61EE6"/>
    <w:rsid w:val="00E74611"/>
    <w:rsid w:val="00E81829"/>
    <w:rsid w:val="00E920C6"/>
    <w:rsid w:val="00E94928"/>
    <w:rsid w:val="00EB3759"/>
    <w:rsid w:val="00EB4611"/>
    <w:rsid w:val="00EC5188"/>
    <w:rsid w:val="00ED06AF"/>
    <w:rsid w:val="00ED3965"/>
    <w:rsid w:val="00EF2B1D"/>
    <w:rsid w:val="00F065AA"/>
    <w:rsid w:val="00F12277"/>
    <w:rsid w:val="00F165DD"/>
    <w:rsid w:val="00F32FF7"/>
    <w:rsid w:val="00F36CD2"/>
    <w:rsid w:val="00F517F5"/>
    <w:rsid w:val="00F558BA"/>
    <w:rsid w:val="00F70939"/>
    <w:rsid w:val="00F87724"/>
    <w:rsid w:val="00F93ABD"/>
    <w:rsid w:val="00F94741"/>
    <w:rsid w:val="00F96111"/>
    <w:rsid w:val="00F97E55"/>
    <w:rsid w:val="00FA21F3"/>
    <w:rsid w:val="00FA60A3"/>
    <w:rsid w:val="00FB5C94"/>
    <w:rsid w:val="00FD35EC"/>
    <w:rsid w:val="00FF42FB"/>
    <w:rsid w:val="00FF79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DCA5"/>
  <w15:docId w15:val="{51789175-4AE9-4183-A1C5-BEF4FA43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D9"/>
    <w:rPr>
      <w:rFonts w:ascii="Times New Roman" w:eastAsia="Times New Roman" w:hAnsi="Times New Roman"/>
      <w:sz w:val="24"/>
      <w:szCs w:val="24"/>
      <w:lang w:val="en-I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1F3"/>
    <w:pPr>
      <w:ind w:left="720"/>
      <w:contextualSpacing/>
    </w:pPr>
  </w:style>
  <w:style w:type="character" w:styleId="Hyperlink">
    <w:name w:val="Hyperlink"/>
    <w:rsid w:val="00225D4A"/>
    <w:rPr>
      <w:u w:val="single"/>
    </w:rPr>
  </w:style>
  <w:style w:type="paragraph" w:customStyle="1" w:styleId="Body">
    <w:name w:val="Body"/>
    <w:rsid w:val="00225D4A"/>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eastAsia="en-GB"/>
    </w:rPr>
  </w:style>
  <w:style w:type="character" w:styleId="Emphasis">
    <w:name w:val="Emphasis"/>
    <w:uiPriority w:val="20"/>
    <w:qFormat/>
    <w:rsid w:val="00225D4A"/>
    <w:rPr>
      <w:i/>
      <w:iCs/>
    </w:rPr>
  </w:style>
  <w:style w:type="character" w:customStyle="1" w:styleId="e24kjd">
    <w:name w:val="e24kjd"/>
    <w:basedOn w:val="DefaultParagraphFont"/>
    <w:rsid w:val="00225D4A"/>
  </w:style>
  <w:style w:type="character" w:styleId="Strong">
    <w:name w:val="Strong"/>
    <w:uiPriority w:val="22"/>
    <w:qFormat/>
    <w:rsid w:val="00225D4A"/>
    <w:rPr>
      <w:b/>
      <w:bCs/>
    </w:rPr>
  </w:style>
  <w:style w:type="character" w:customStyle="1" w:styleId="citation-doi">
    <w:name w:val="citation-doi"/>
    <w:basedOn w:val="DefaultParagraphFont"/>
    <w:rsid w:val="00225D4A"/>
  </w:style>
  <w:style w:type="character" w:customStyle="1" w:styleId="metadata--doi">
    <w:name w:val="metadata--doi"/>
    <w:basedOn w:val="DefaultParagraphFont"/>
    <w:rsid w:val="00225D4A"/>
  </w:style>
  <w:style w:type="character" w:customStyle="1" w:styleId="identifier">
    <w:name w:val="identifier"/>
    <w:basedOn w:val="DefaultParagraphFont"/>
    <w:rsid w:val="00225D4A"/>
  </w:style>
  <w:style w:type="character" w:customStyle="1" w:styleId="id-label">
    <w:name w:val="id-label"/>
    <w:basedOn w:val="DefaultParagraphFont"/>
    <w:rsid w:val="00225D4A"/>
  </w:style>
  <w:style w:type="character" w:customStyle="1" w:styleId="doi">
    <w:name w:val="doi"/>
    <w:basedOn w:val="DefaultParagraphFont"/>
    <w:rsid w:val="00225D4A"/>
  </w:style>
  <w:style w:type="character" w:styleId="LineNumber">
    <w:name w:val="line number"/>
    <w:basedOn w:val="DefaultParagraphFont"/>
    <w:uiPriority w:val="99"/>
    <w:semiHidden/>
    <w:unhideWhenUsed/>
    <w:rsid w:val="00225D4A"/>
  </w:style>
  <w:style w:type="character" w:customStyle="1" w:styleId="acopre">
    <w:name w:val="acopre"/>
    <w:basedOn w:val="DefaultParagraphFont"/>
    <w:rsid w:val="00C8296B"/>
  </w:style>
  <w:style w:type="table" w:styleId="TableGrid">
    <w:name w:val="Table Grid"/>
    <w:basedOn w:val="TableNormal"/>
    <w:uiPriority w:val="59"/>
    <w:rsid w:val="00D24F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24F1A"/>
    <w:rPr>
      <w:rFonts w:ascii="Tahoma" w:hAnsi="Tahoma" w:cs="Tahoma"/>
      <w:sz w:val="16"/>
      <w:szCs w:val="16"/>
    </w:rPr>
  </w:style>
  <w:style w:type="character" w:customStyle="1" w:styleId="BalloonTextChar">
    <w:name w:val="Balloon Text Char"/>
    <w:link w:val="BalloonText"/>
    <w:uiPriority w:val="99"/>
    <w:semiHidden/>
    <w:rsid w:val="00D24F1A"/>
    <w:rPr>
      <w:rFonts w:ascii="Tahoma" w:eastAsia="Times New Roman" w:hAnsi="Tahoma" w:cs="Tahoma"/>
      <w:sz w:val="16"/>
      <w:szCs w:val="16"/>
      <w:lang w:val="en-IN" w:eastAsia="en-GB"/>
    </w:rPr>
  </w:style>
  <w:style w:type="paragraph" w:styleId="Title">
    <w:name w:val="Title"/>
    <w:basedOn w:val="Normal"/>
    <w:link w:val="TitleChar"/>
    <w:qFormat/>
    <w:rsid w:val="00741ACD"/>
    <w:pPr>
      <w:spacing w:line="480" w:lineRule="auto"/>
      <w:jc w:val="center"/>
    </w:pPr>
    <w:rPr>
      <w:b/>
      <w:bCs/>
      <w:i/>
      <w:iCs/>
      <w:sz w:val="44"/>
      <w:lang w:val="en-US" w:eastAsia="en-US"/>
    </w:rPr>
  </w:style>
  <w:style w:type="character" w:customStyle="1" w:styleId="TitleChar">
    <w:name w:val="Title Char"/>
    <w:link w:val="Title"/>
    <w:rsid w:val="00741ACD"/>
    <w:rPr>
      <w:rFonts w:ascii="Times New Roman" w:eastAsia="Times New Roman" w:hAnsi="Times New Roman" w:cs="Times New Roman"/>
      <w:b/>
      <w:bCs/>
      <w:i/>
      <w:iCs/>
      <w:sz w:val="44"/>
      <w:szCs w:val="24"/>
    </w:rPr>
  </w:style>
  <w:style w:type="paragraph" w:styleId="Header">
    <w:name w:val="header"/>
    <w:basedOn w:val="Normal"/>
    <w:link w:val="HeaderChar"/>
    <w:uiPriority w:val="99"/>
    <w:unhideWhenUsed/>
    <w:rsid w:val="00277ED3"/>
    <w:pPr>
      <w:tabs>
        <w:tab w:val="center" w:pos="4680"/>
        <w:tab w:val="right" w:pos="9360"/>
      </w:tabs>
    </w:pPr>
  </w:style>
  <w:style w:type="character" w:customStyle="1" w:styleId="HeaderChar">
    <w:name w:val="Header Char"/>
    <w:link w:val="Header"/>
    <w:uiPriority w:val="99"/>
    <w:rsid w:val="00277ED3"/>
    <w:rPr>
      <w:rFonts w:ascii="Times New Roman" w:eastAsia="Times New Roman" w:hAnsi="Times New Roman" w:cs="Times New Roman"/>
      <w:sz w:val="24"/>
      <w:szCs w:val="24"/>
      <w:lang w:val="en-IN" w:eastAsia="en-GB"/>
    </w:rPr>
  </w:style>
  <w:style w:type="paragraph" w:styleId="Footer">
    <w:name w:val="footer"/>
    <w:basedOn w:val="Normal"/>
    <w:link w:val="FooterChar"/>
    <w:uiPriority w:val="99"/>
    <w:unhideWhenUsed/>
    <w:rsid w:val="00277ED3"/>
    <w:pPr>
      <w:tabs>
        <w:tab w:val="center" w:pos="4680"/>
        <w:tab w:val="right" w:pos="9360"/>
      </w:tabs>
    </w:pPr>
  </w:style>
  <w:style w:type="character" w:customStyle="1" w:styleId="FooterChar">
    <w:name w:val="Footer Char"/>
    <w:link w:val="Footer"/>
    <w:uiPriority w:val="99"/>
    <w:rsid w:val="00277ED3"/>
    <w:rPr>
      <w:rFonts w:ascii="Times New Roman" w:eastAsia="Times New Roman" w:hAnsi="Times New Roman" w:cs="Times New Roman"/>
      <w:sz w:val="24"/>
      <w:szCs w:val="24"/>
      <w:lang w:val="en-IN" w:eastAsia="en-GB"/>
    </w:rPr>
  </w:style>
  <w:style w:type="character" w:styleId="UnresolvedMention">
    <w:name w:val="Unresolved Mention"/>
    <w:basedOn w:val="DefaultParagraphFont"/>
    <w:uiPriority w:val="99"/>
    <w:semiHidden/>
    <w:unhideWhenUsed/>
    <w:rsid w:val="00301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9434">
      <w:bodyDiv w:val="1"/>
      <w:marLeft w:val="0"/>
      <w:marRight w:val="0"/>
      <w:marTop w:val="0"/>
      <w:marBottom w:val="0"/>
      <w:divBdr>
        <w:top w:val="none" w:sz="0" w:space="0" w:color="auto"/>
        <w:left w:val="none" w:sz="0" w:space="0" w:color="auto"/>
        <w:bottom w:val="none" w:sz="0" w:space="0" w:color="auto"/>
        <w:right w:val="none" w:sz="0" w:space="0" w:color="auto"/>
      </w:divBdr>
    </w:div>
    <w:div w:id="374352122">
      <w:bodyDiv w:val="1"/>
      <w:marLeft w:val="0"/>
      <w:marRight w:val="0"/>
      <w:marTop w:val="0"/>
      <w:marBottom w:val="0"/>
      <w:divBdr>
        <w:top w:val="none" w:sz="0" w:space="0" w:color="auto"/>
        <w:left w:val="none" w:sz="0" w:space="0" w:color="auto"/>
        <w:bottom w:val="none" w:sz="0" w:space="0" w:color="auto"/>
        <w:right w:val="none" w:sz="0" w:space="0" w:color="auto"/>
      </w:divBdr>
    </w:div>
    <w:div w:id="534805714">
      <w:bodyDiv w:val="1"/>
      <w:marLeft w:val="0"/>
      <w:marRight w:val="0"/>
      <w:marTop w:val="0"/>
      <w:marBottom w:val="0"/>
      <w:divBdr>
        <w:top w:val="none" w:sz="0" w:space="0" w:color="auto"/>
        <w:left w:val="none" w:sz="0" w:space="0" w:color="auto"/>
        <w:bottom w:val="none" w:sz="0" w:space="0" w:color="auto"/>
        <w:right w:val="none" w:sz="0" w:space="0" w:color="auto"/>
      </w:divBdr>
    </w:div>
    <w:div w:id="626282781">
      <w:bodyDiv w:val="1"/>
      <w:marLeft w:val="0"/>
      <w:marRight w:val="0"/>
      <w:marTop w:val="0"/>
      <w:marBottom w:val="0"/>
      <w:divBdr>
        <w:top w:val="none" w:sz="0" w:space="0" w:color="auto"/>
        <w:left w:val="none" w:sz="0" w:space="0" w:color="auto"/>
        <w:bottom w:val="none" w:sz="0" w:space="0" w:color="auto"/>
        <w:right w:val="none" w:sz="0" w:space="0" w:color="auto"/>
      </w:divBdr>
    </w:div>
    <w:div w:id="724450027">
      <w:bodyDiv w:val="1"/>
      <w:marLeft w:val="0"/>
      <w:marRight w:val="0"/>
      <w:marTop w:val="0"/>
      <w:marBottom w:val="0"/>
      <w:divBdr>
        <w:top w:val="none" w:sz="0" w:space="0" w:color="auto"/>
        <w:left w:val="none" w:sz="0" w:space="0" w:color="auto"/>
        <w:bottom w:val="none" w:sz="0" w:space="0" w:color="auto"/>
        <w:right w:val="none" w:sz="0" w:space="0" w:color="auto"/>
      </w:divBdr>
    </w:div>
    <w:div w:id="761679411">
      <w:bodyDiv w:val="1"/>
      <w:marLeft w:val="0"/>
      <w:marRight w:val="0"/>
      <w:marTop w:val="0"/>
      <w:marBottom w:val="0"/>
      <w:divBdr>
        <w:top w:val="none" w:sz="0" w:space="0" w:color="auto"/>
        <w:left w:val="none" w:sz="0" w:space="0" w:color="auto"/>
        <w:bottom w:val="none" w:sz="0" w:space="0" w:color="auto"/>
        <w:right w:val="none" w:sz="0" w:space="0" w:color="auto"/>
      </w:divBdr>
    </w:div>
    <w:div w:id="1000504127">
      <w:bodyDiv w:val="1"/>
      <w:marLeft w:val="0"/>
      <w:marRight w:val="0"/>
      <w:marTop w:val="0"/>
      <w:marBottom w:val="0"/>
      <w:divBdr>
        <w:top w:val="none" w:sz="0" w:space="0" w:color="auto"/>
        <w:left w:val="none" w:sz="0" w:space="0" w:color="auto"/>
        <w:bottom w:val="none" w:sz="0" w:space="0" w:color="auto"/>
        <w:right w:val="none" w:sz="0" w:space="0" w:color="auto"/>
      </w:divBdr>
    </w:div>
    <w:div w:id="1069579096">
      <w:bodyDiv w:val="1"/>
      <w:marLeft w:val="0"/>
      <w:marRight w:val="0"/>
      <w:marTop w:val="0"/>
      <w:marBottom w:val="0"/>
      <w:divBdr>
        <w:top w:val="none" w:sz="0" w:space="0" w:color="auto"/>
        <w:left w:val="none" w:sz="0" w:space="0" w:color="auto"/>
        <w:bottom w:val="none" w:sz="0" w:space="0" w:color="auto"/>
        <w:right w:val="none" w:sz="0" w:space="0" w:color="auto"/>
      </w:divBdr>
    </w:div>
    <w:div w:id="1399471525">
      <w:bodyDiv w:val="1"/>
      <w:marLeft w:val="0"/>
      <w:marRight w:val="0"/>
      <w:marTop w:val="0"/>
      <w:marBottom w:val="0"/>
      <w:divBdr>
        <w:top w:val="none" w:sz="0" w:space="0" w:color="auto"/>
        <w:left w:val="none" w:sz="0" w:space="0" w:color="auto"/>
        <w:bottom w:val="none" w:sz="0" w:space="0" w:color="auto"/>
        <w:right w:val="none" w:sz="0" w:space="0" w:color="auto"/>
      </w:divBdr>
    </w:div>
    <w:div w:id="1535581887">
      <w:bodyDiv w:val="1"/>
      <w:marLeft w:val="0"/>
      <w:marRight w:val="0"/>
      <w:marTop w:val="0"/>
      <w:marBottom w:val="0"/>
      <w:divBdr>
        <w:top w:val="none" w:sz="0" w:space="0" w:color="auto"/>
        <w:left w:val="none" w:sz="0" w:space="0" w:color="auto"/>
        <w:bottom w:val="none" w:sz="0" w:space="0" w:color="auto"/>
        <w:right w:val="none" w:sz="0" w:space="0" w:color="auto"/>
      </w:divBdr>
    </w:div>
    <w:div w:id="1811745724">
      <w:bodyDiv w:val="1"/>
      <w:marLeft w:val="0"/>
      <w:marRight w:val="0"/>
      <w:marTop w:val="0"/>
      <w:marBottom w:val="0"/>
      <w:divBdr>
        <w:top w:val="none" w:sz="0" w:space="0" w:color="auto"/>
        <w:left w:val="none" w:sz="0" w:space="0" w:color="auto"/>
        <w:bottom w:val="none" w:sz="0" w:space="0" w:color="auto"/>
        <w:right w:val="none" w:sz="0" w:space="0" w:color="auto"/>
      </w:divBdr>
    </w:div>
    <w:div w:id="21131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r_73@rediffmail.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06B4-A628-4DAF-9425-C98F8196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31503</CharactersWithSpaces>
  <SharedDoc>false</SharedDoc>
  <HLinks>
    <vt:vector size="108" baseType="variant">
      <vt:variant>
        <vt:i4>4980751</vt:i4>
      </vt:variant>
      <vt:variant>
        <vt:i4>78</vt:i4>
      </vt:variant>
      <vt:variant>
        <vt:i4>0</vt:i4>
      </vt:variant>
      <vt:variant>
        <vt:i4>5</vt:i4>
      </vt:variant>
      <vt:variant>
        <vt:lpwstr>https://doi.org/10.1016/j.ijpharm.2012.01.026</vt:lpwstr>
      </vt:variant>
      <vt:variant>
        <vt:lpwstr/>
      </vt:variant>
      <vt:variant>
        <vt:i4>6881346</vt:i4>
      </vt:variant>
      <vt:variant>
        <vt:i4>75</vt:i4>
      </vt:variant>
      <vt:variant>
        <vt:i4>0</vt:i4>
      </vt:variant>
      <vt:variant>
        <vt:i4>5</vt:i4>
      </vt:variant>
      <vt:variant>
        <vt:lpwstr>https://ui.adsabs.harvard.edu/link_gateway/2007JRSp...38..728O/doi:10.1002/jrs.1686</vt:lpwstr>
      </vt:variant>
      <vt:variant>
        <vt:lpwstr/>
      </vt:variant>
      <vt:variant>
        <vt:i4>3997810</vt:i4>
      </vt:variant>
      <vt:variant>
        <vt:i4>72</vt:i4>
      </vt:variant>
      <vt:variant>
        <vt:i4>0</vt:i4>
      </vt:variant>
      <vt:variant>
        <vt:i4>5</vt:i4>
      </vt:variant>
      <vt:variant>
        <vt:lpwstr>https://dx.doi.org/10.1208%2Fs12249-009-9313-3</vt:lpwstr>
      </vt:variant>
      <vt:variant>
        <vt:lpwstr/>
      </vt:variant>
      <vt:variant>
        <vt:i4>4521999</vt:i4>
      </vt:variant>
      <vt:variant>
        <vt:i4>69</vt:i4>
      </vt:variant>
      <vt:variant>
        <vt:i4>0</vt:i4>
      </vt:variant>
      <vt:variant>
        <vt:i4>5</vt:i4>
      </vt:variant>
      <vt:variant>
        <vt:lpwstr>https://doi.org/10.1016/j.ijpharm.2008.10.006</vt:lpwstr>
      </vt:variant>
      <vt:variant>
        <vt:lpwstr/>
      </vt:variant>
      <vt:variant>
        <vt:i4>5832738</vt:i4>
      </vt:variant>
      <vt:variant>
        <vt:i4>66</vt:i4>
      </vt:variant>
      <vt:variant>
        <vt:i4>0</vt:i4>
      </vt:variant>
      <vt:variant>
        <vt:i4>5</vt:i4>
      </vt:variant>
      <vt:variant>
        <vt:lpwstr>https://ui.adsabs.harvard.edu/link_gateway/2004GSLSP.232...63B/doi:10.1144/GSL.SP.2004.232.01.08</vt:lpwstr>
      </vt:variant>
      <vt:variant>
        <vt:lpwstr/>
      </vt:variant>
      <vt:variant>
        <vt:i4>327749</vt:i4>
      </vt:variant>
      <vt:variant>
        <vt:i4>63</vt:i4>
      </vt:variant>
      <vt:variant>
        <vt:i4>0</vt:i4>
      </vt:variant>
      <vt:variant>
        <vt:i4>5</vt:i4>
      </vt:variant>
      <vt:variant>
        <vt:lpwstr>https://doi.org/10.1080/08982104.2018.1531022</vt:lpwstr>
      </vt:variant>
      <vt:variant>
        <vt:lpwstr/>
      </vt:variant>
      <vt:variant>
        <vt:i4>3604592</vt:i4>
      </vt:variant>
      <vt:variant>
        <vt:i4>60</vt:i4>
      </vt:variant>
      <vt:variant>
        <vt:i4>0</vt:i4>
      </vt:variant>
      <vt:variant>
        <vt:i4>5</vt:i4>
      </vt:variant>
      <vt:variant>
        <vt:lpwstr>https://dx.doi.org/10.1208%2Fs12249-013-9994-5</vt:lpwstr>
      </vt:variant>
      <vt:variant>
        <vt:lpwstr/>
      </vt:variant>
      <vt:variant>
        <vt:i4>3801128</vt:i4>
      </vt:variant>
      <vt:variant>
        <vt:i4>57</vt:i4>
      </vt:variant>
      <vt:variant>
        <vt:i4>0</vt:i4>
      </vt:variant>
      <vt:variant>
        <vt:i4>5</vt:i4>
      </vt:variant>
      <vt:variant>
        <vt:lpwstr>https://doi.org/10.1179/1753555714Y.0000000163</vt:lpwstr>
      </vt:variant>
      <vt:variant>
        <vt:lpwstr/>
      </vt:variant>
      <vt:variant>
        <vt:i4>5308435</vt:i4>
      </vt:variant>
      <vt:variant>
        <vt:i4>54</vt:i4>
      </vt:variant>
      <vt:variant>
        <vt:i4>0</vt:i4>
      </vt:variant>
      <vt:variant>
        <vt:i4>5</vt:i4>
      </vt:variant>
      <vt:variant>
        <vt:lpwstr>https://doi.org/10.1016/j.compositesa.2014.04.023</vt:lpwstr>
      </vt:variant>
      <vt:variant>
        <vt:lpwstr/>
      </vt:variant>
      <vt:variant>
        <vt:i4>5898255</vt:i4>
      </vt:variant>
      <vt:variant>
        <vt:i4>51</vt:i4>
      </vt:variant>
      <vt:variant>
        <vt:i4>0</vt:i4>
      </vt:variant>
      <vt:variant>
        <vt:i4>5</vt:i4>
      </vt:variant>
      <vt:variant>
        <vt:lpwstr>https://doi.org/10.1021/ar020259h</vt:lpwstr>
      </vt:variant>
      <vt:variant>
        <vt:lpwstr/>
      </vt:variant>
      <vt:variant>
        <vt:i4>1441879</vt:i4>
      </vt:variant>
      <vt:variant>
        <vt:i4>48</vt:i4>
      </vt:variant>
      <vt:variant>
        <vt:i4>0</vt:i4>
      </vt:variant>
      <vt:variant>
        <vt:i4>5</vt:i4>
      </vt:variant>
      <vt:variant>
        <vt:lpwstr>https://doi.org/10.2165/00003495-200464130-00004</vt:lpwstr>
      </vt:variant>
      <vt:variant>
        <vt:lpwstr/>
      </vt:variant>
      <vt:variant>
        <vt:i4>589826</vt:i4>
      </vt:variant>
      <vt:variant>
        <vt:i4>45</vt:i4>
      </vt:variant>
      <vt:variant>
        <vt:i4>0</vt:i4>
      </vt:variant>
      <vt:variant>
        <vt:i4>5</vt:i4>
      </vt:variant>
      <vt:variant>
        <vt:lpwstr>https://doi.org/10.1016/s0149-2918(02)85125-6</vt:lpwstr>
      </vt:variant>
      <vt:variant>
        <vt:lpwstr/>
      </vt:variant>
      <vt:variant>
        <vt:i4>4849737</vt:i4>
      </vt:variant>
      <vt:variant>
        <vt:i4>42</vt:i4>
      </vt:variant>
      <vt:variant>
        <vt:i4>0</vt:i4>
      </vt:variant>
      <vt:variant>
        <vt:i4>5</vt:i4>
      </vt:variant>
      <vt:variant>
        <vt:lpwstr>https://doi.org/10.1371/journal.pmed.0030076</vt:lpwstr>
      </vt:variant>
      <vt:variant>
        <vt:lpwstr/>
      </vt:variant>
      <vt:variant>
        <vt:i4>917522</vt:i4>
      </vt:variant>
      <vt:variant>
        <vt:i4>39</vt:i4>
      </vt:variant>
      <vt:variant>
        <vt:i4>0</vt:i4>
      </vt:variant>
      <vt:variant>
        <vt:i4>5</vt:i4>
      </vt:variant>
      <vt:variant>
        <vt:lpwstr>https://doi.org/10.3389/fmicb.2015.00321</vt:lpwstr>
      </vt:variant>
      <vt:variant>
        <vt:lpwstr/>
      </vt:variant>
      <vt:variant>
        <vt:i4>4390987</vt:i4>
      </vt:variant>
      <vt:variant>
        <vt:i4>36</vt:i4>
      </vt:variant>
      <vt:variant>
        <vt:i4>0</vt:i4>
      </vt:variant>
      <vt:variant>
        <vt:i4>5</vt:i4>
      </vt:variant>
      <vt:variant>
        <vt:lpwstr>https://doi.org/10.1016/j.drudis.2015.01.006</vt:lpwstr>
      </vt:variant>
      <vt:variant>
        <vt:lpwstr/>
      </vt:variant>
      <vt:variant>
        <vt:i4>5177350</vt:i4>
      </vt:variant>
      <vt:variant>
        <vt:i4>33</vt:i4>
      </vt:variant>
      <vt:variant>
        <vt:i4>0</vt:i4>
      </vt:variant>
      <vt:variant>
        <vt:i4>5</vt:i4>
      </vt:variant>
      <vt:variant>
        <vt:lpwstr>https://doi.org/10.1021/nn700040t</vt:lpwstr>
      </vt:variant>
      <vt:variant>
        <vt:lpwstr/>
      </vt:variant>
      <vt:variant>
        <vt:i4>4194312</vt:i4>
      </vt:variant>
      <vt:variant>
        <vt:i4>30</vt:i4>
      </vt:variant>
      <vt:variant>
        <vt:i4>0</vt:i4>
      </vt:variant>
      <vt:variant>
        <vt:i4>5</vt:i4>
      </vt:variant>
      <vt:variant>
        <vt:lpwstr>https://doi.org/10.1021/ja061680u</vt:lpwstr>
      </vt:variant>
      <vt:variant>
        <vt:lpwstr/>
      </vt:variant>
      <vt:variant>
        <vt:i4>2031639</vt:i4>
      </vt:variant>
      <vt:variant>
        <vt:i4>0</vt:i4>
      </vt:variant>
      <vt:variant>
        <vt:i4>0</vt:i4>
      </vt:variant>
      <vt:variant>
        <vt:i4>5</vt:i4>
      </vt:variant>
      <vt:variant>
        <vt:lpwstr>mailto:kravi_73@rediffmail.com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NLC1</dc:creator>
  <cp:keywords/>
  <cp:lastModifiedBy>Himanshu Office</cp:lastModifiedBy>
  <cp:revision>2</cp:revision>
  <dcterms:created xsi:type="dcterms:W3CDTF">2025-12-06T08:44:00Z</dcterms:created>
  <dcterms:modified xsi:type="dcterms:W3CDTF">2025-12-06T08:44:00Z</dcterms:modified>
</cp:coreProperties>
</file>